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75" w:rsidRPr="008F5B76" w:rsidRDefault="00F85B75">
      <w:pPr>
        <w:pStyle w:val="ConsPlusTitle"/>
        <w:jc w:val="center"/>
      </w:pPr>
      <w:r w:rsidRPr="008F5B76">
        <w:t>СОВЕТ СТЕПНОВСКОГО МУНИЦИПАЛЬНОГО РАЙОНА</w:t>
      </w:r>
    </w:p>
    <w:p w:rsidR="00F85B75" w:rsidRPr="008F5B76" w:rsidRDefault="00F85B75">
      <w:pPr>
        <w:pStyle w:val="ConsPlusTitle"/>
        <w:jc w:val="center"/>
      </w:pPr>
      <w:r w:rsidRPr="008F5B76">
        <w:t>СТАВРОПОЛЬСКОГО КРАЯ</w:t>
      </w:r>
    </w:p>
    <w:p w:rsidR="00F85B75" w:rsidRPr="008F5B76" w:rsidRDefault="00F85B75">
      <w:pPr>
        <w:pStyle w:val="ConsPlusTitle"/>
        <w:jc w:val="center"/>
      </w:pPr>
    </w:p>
    <w:p w:rsidR="00F85B75" w:rsidRPr="008F5B76" w:rsidRDefault="00F85B75">
      <w:pPr>
        <w:pStyle w:val="ConsPlusTitle"/>
        <w:jc w:val="center"/>
      </w:pPr>
      <w:r w:rsidRPr="008F5B76">
        <w:t>РЕШЕНИЕ</w:t>
      </w:r>
    </w:p>
    <w:p w:rsidR="00F85B75" w:rsidRPr="008F5B76" w:rsidRDefault="00F85B75">
      <w:pPr>
        <w:pStyle w:val="ConsPlusTitle"/>
        <w:jc w:val="center"/>
      </w:pPr>
      <w:r w:rsidRPr="008F5B76">
        <w:t>от 30 октября 2015 г. N 20/153-III</w:t>
      </w:r>
    </w:p>
    <w:p w:rsidR="00F85B75" w:rsidRPr="008F5B76" w:rsidRDefault="00F85B75">
      <w:pPr>
        <w:pStyle w:val="ConsPlusTitle"/>
        <w:jc w:val="center"/>
      </w:pPr>
    </w:p>
    <w:p w:rsidR="00F85B75" w:rsidRPr="008F5B76" w:rsidRDefault="00F85B75">
      <w:pPr>
        <w:pStyle w:val="ConsPlusTitle"/>
        <w:jc w:val="center"/>
      </w:pPr>
      <w:r w:rsidRPr="008F5B76">
        <w:t xml:space="preserve">О СИСТЕМЕ НАЛОГООБЛОЖЕНИЯ В ВИДЕ ЕДИНОГО НАЛОГА НА </w:t>
      </w:r>
      <w:proofErr w:type="gramStart"/>
      <w:r w:rsidRPr="008F5B76">
        <w:t>ВМЕНЕННЫЙ</w:t>
      </w:r>
      <w:proofErr w:type="gramEnd"/>
    </w:p>
    <w:p w:rsidR="00F85B75" w:rsidRPr="008F5B76" w:rsidRDefault="00F85B75">
      <w:pPr>
        <w:pStyle w:val="ConsPlusTitle"/>
        <w:jc w:val="center"/>
      </w:pPr>
      <w:r w:rsidRPr="008F5B76">
        <w:t>ДОХОД ДЛЯ ОТДЕЛЬНЫХ ВИДОВ ДЕЯТЕЛЬНОСТИ НА ТЕРРИТОРИИ</w:t>
      </w:r>
    </w:p>
    <w:p w:rsidR="00F85B75" w:rsidRPr="008F5B76" w:rsidRDefault="00F85B75">
      <w:pPr>
        <w:pStyle w:val="ConsPlusTitle"/>
        <w:jc w:val="center"/>
      </w:pPr>
      <w:r w:rsidRPr="008F5B76">
        <w:t>СТЕПНОВСКОГО МУНИЦИПАЛЬНОГО РАЙОНА СТАВРОПОЛЬСКОГО КРАЯ</w:t>
      </w:r>
    </w:p>
    <w:p w:rsidR="00F85B75" w:rsidRPr="008F5B76" w:rsidRDefault="00F85B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F5B76" w:rsidRPr="008F5B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Список изменяющих документов</w:t>
            </w:r>
          </w:p>
          <w:p w:rsidR="00F85B75" w:rsidRPr="008F5B76" w:rsidRDefault="00F85B75">
            <w:pPr>
              <w:pStyle w:val="ConsPlusNormal"/>
              <w:jc w:val="center"/>
            </w:pPr>
            <w:proofErr w:type="gramStart"/>
            <w:r w:rsidRPr="008F5B76">
              <w:t xml:space="preserve">(в ред. решений совета </w:t>
            </w:r>
            <w:proofErr w:type="spellStart"/>
            <w:r w:rsidRPr="008F5B76">
              <w:t>Степновского</w:t>
            </w:r>
            <w:proofErr w:type="spellEnd"/>
            <w:r w:rsidRPr="008F5B76">
              <w:t xml:space="preserve"> муниципального района</w:t>
            </w:r>
            <w:proofErr w:type="gramEnd"/>
          </w:p>
          <w:p w:rsidR="00F85B75" w:rsidRPr="008F5B76" w:rsidRDefault="00F85B75">
            <w:pPr>
              <w:pStyle w:val="ConsPlusNormal"/>
              <w:jc w:val="center"/>
            </w:pPr>
            <w:r w:rsidRPr="008F5B76">
              <w:t>Ставропольского края от 28.10.2016 N 29/228-III,</w:t>
            </w:r>
          </w:p>
          <w:p w:rsidR="00F85B75" w:rsidRPr="008F5B76" w:rsidRDefault="00F85B75">
            <w:pPr>
              <w:pStyle w:val="ConsPlusNormal"/>
              <w:jc w:val="center"/>
            </w:pPr>
            <w:r w:rsidRPr="008F5B76">
              <w:t>от 13.03.2017 N 34/262-III, от 08.11.2017 N 41/297-III,</w:t>
            </w:r>
          </w:p>
          <w:p w:rsidR="00F85B75" w:rsidRPr="008F5B76" w:rsidRDefault="00F85B75">
            <w:pPr>
              <w:pStyle w:val="ConsPlusNormal"/>
              <w:jc w:val="center"/>
            </w:pPr>
            <w:r w:rsidRPr="008F5B76">
              <w:t>от 29.06.2018 N 49/338-III, от 23.11.2018 N 3/13-IV)</w:t>
            </w:r>
          </w:p>
        </w:tc>
      </w:tr>
    </w:tbl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ind w:firstLine="540"/>
        <w:jc w:val="both"/>
      </w:pPr>
      <w:r w:rsidRPr="008F5B76">
        <w:t xml:space="preserve">В соответствии с главой 26.3 Налогового кодекса Российской Федерации, Уставом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Совет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решил:</w:t>
      </w:r>
    </w:p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ind w:firstLine="540"/>
        <w:jc w:val="both"/>
      </w:pPr>
      <w:bookmarkStart w:id="0" w:name="_GoBack"/>
      <w:r w:rsidRPr="008F5B76">
        <w:t xml:space="preserve">1. Ввести на территории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(далее - </w:t>
      </w:r>
      <w:bookmarkEnd w:id="0"/>
      <w:r w:rsidRPr="008F5B76">
        <w:t>район) систему налогообложения в виде единого налога на вмененный доход для отдельных видов деятельности.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2. Утратил силу с 1 января 2018 года. - Решение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08.11.2017 N 41/297-III.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3. Установить, что система налогообложения в виде единого налога применяется на территории района в отношении следующих видов предпринимательской деятельности: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определяемых Правительством Российской Федерации;</w:t>
      </w:r>
    </w:p>
    <w:p w:rsidR="00F85B75" w:rsidRPr="008F5B76" w:rsidRDefault="00F85B75">
      <w:pPr>
        <w:pStyle w:val="ConsPlusNormal"/>
        <w:jc w:val="both"/>
      </w:pPr>
      <w:r w:rsidRPr="008F5B76">
        <w:t>(</w:t>
      </w:r>
      <w:proofErr w:type="spellStart"/>
      <w:r w:rsidRPr="008F5B76">
        <w:t>пп</w:t>
      </w:r>
      <w:proofErr w:type="spellEnd"/>
      <w:r w:rsidRPr="008F5B76">
        <w:t xml:space="preserve">. 1 в ред. решения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13.03.2017 N 34/262-III)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2) оказания ветеринарных услуг;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3) оказания услуг по ремонту, техническому обслуживанию и мойке автомототранспортных средств;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владения, и (или) распоряжения) не более 20 транспортных средств, предназначенных для оказания таких услуг;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6) розничной торговли, осуществляемой через объекты стационарной торговой сети, не имеющей </w:t>
      </w:r>
      <w:r w:rsidRPr="008F5B76">
        <w:lastRenderedPageBreak/>
        <w:t>торговых залов, а также объекты нестационарной торговой сети;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9)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10)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11)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4. Установить, что значение корректирующего коэффициента базовой доходности К</w:t>
      </w:r>
      <w:proofErr w:type="gramStart"/>
      <w:r w:rsidRPr="008F5B76">
        <w:t>2</w:t>
      </w:r>
      <w:proofErr w:type="gramEnd"/>
      <w:r w:rsidRPr="008F5B76">
        <w:t xml:space="preserve"> определяется как произведение коэффициентов, учитывающих влияние на результат предпринимательской деятельности факторов, по формуле:</w:t>
      </w:r>
    </w:p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ind w:firstLine="540"/>
        <w:jc w:val="both"/>
      </w:pPr>
      <w:r w:rsidRPr="008F5B76">
        <w:t>К</w:t>
      </w:r>
      <w:proofErr w:type="gramStart"/>
      <w:r w:rsidRPr="008F5B76">
        <w:t>2</w:t>
      </w:r>
      <w:proofErr w:type="gramEnd"/>
      <w:r w:rsidRPr="008F5B76">
        <w:t xml:space="preserve"> = </w:t>
      </w:r>
      <w:proofErr w:type="spellStart"/>
      <w:r w:rsidRPr="008F5B76">
        <w:t>Ктнп</w:t>
      </w:r>
      <w:proofErr w:type="spellEnd"/>
      <w:r w:rsidRPr="008F5B76">
        <w:t xml:space="preserve"> x </w:t>
      </w:r>
      <w:proofErr w:type="spellStart"/>
      <w:r w:rsidRPr="008F5B76">
        <w:t>Кид</w:t>
      </w:r>
      <w:proofErr w:type="spellEnd"/>
      <w:r w:rsidRPr="008F5B76">
        <w:t>, где</w:t>
      </w:r>
    </w:p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ind w:firstLine="540"/>
        <w:jc w:val="both"/>
      </w:pPr>
      <w:proofErr w:type="spellStart"/>
      <w:r w:rsidRPr="008F5B76">
        <w:t>Ктнп</w:t>
      </w:r>
      <w:proofErr w:type="spellEnd"/>
      <w:r w:rsidRPr="008F5B76">
        <w:t xml:space="preserve"> - коэффициент, учитывающий тип населенного пункта;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proofErr w:type="spellStart"/>
      <w:r w:rsidRPr="008F5B76">
        <w:t>Кид</w:t>
      </w:r>
      <w:proofErr w:type="spellEnd"/>
      <w:r w:rsidRPr="008F5B76">
        <w:t xml:space="preserve"> - коэффициент, учитывающий инвестиционную деятельность.</w:t>
      </w:r>
    </w:p>
    <w:p w:rsidR="00F85B75" w:rsidRPr="008F5B76" w:rsidRDefault="00F85B75">
      <w:pPr>
        <w:pStyle w:val="ConsPlusNormal"/>
        <w:jc w:val="both"/>
      </w:pPr>
      <w:r w:rsidRPr="008F5B76">
        <w:t xml:space="preserve">(п. 4 в ред. решения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29.06.2018 N 49/338-III)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5. Утвердить коэффициенты, учитывающие влияние некоторых факторов на результат предпринимательской деятельности в следующих размерах:</w:t>
      </w:r>
    </w:p>
    <w:p w:rsidR="00F85B75" w:rsidRPr="008F5B76" w:rsidRDefault="00F85B75">
      <w:pPr>
        <w:pStyle w:val="ConsPlusNormal"/>
        <w:jc w:val="both"/>
      </w:pPr>
      <w:r w:rsidRPr="008F5B76">
        <w:t xml:space="preserve">(в ред. решения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08.11.2017 N 41/297-III)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5.1. Коэффициент, учитывающий тип населенного пункта (</w:t>
      </w:r>
      <w:proofErr w:type="spellStart"/>
      <w:r w:rsidRPr="008F5B76">
        <w:t>Ктнп</w:t>
      </w:r>
      <w:proofErr w:type="spellEnd"/>
      <w:r w:rsidRPr="008F5B76">
        <w:t>):</w:t>
      </w:r>
    </w:p>
    <w:p w:rsidR="00F85B75" w:rsidRPr="008F5B76" w:rsidRDefault="00F85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628"/>
        <w:gridCol w:w="1276"/>
        <w:gridCol w:w="1134"/>
        <w:gridCol w:w="1134"/>
        <w:gridCol w:w="1276"/>
      </w:tblGrid>
      <w:tr w:rsidR="008F5B76" w:rsidRPr="008F5B76">
        <w:tc>
          <w:tcPr>
            <w:tcW w:w="594" w:type="dxa"/>
            <w:vMerge w:val="restart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 xml:space="preserve">N </w:t>
            </w:r>
            <w:proofErr w:type="gramStart"/>
            <w:r w:rsidRPr="008F5B76">
              <w:t>п</w:t>
            </w:r>
            <w:proofErr w:type="gramEnd"/>
            <w:r w:rsidRPr="008F5B76">
              <w:t>/п</w:t>
            </w:r>
          </w:p>
        </w:tc>
        <w:tc>
          <w:tcPr>
            <w:tcW w:w="3628" w:type="dxa"/>
            <w:vMerge w:val="restart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Вид предпринимательской деятельности</w:t>
            </w:r>
          </w:p>
        </w:tc>
        <w:tc>
          <w:tcPr>
            <w:tcW w:w="4820" w:type="dxa"/>
            <w:gridSpan w:val="4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Тип населенного пункта</w:t>
            </w:r>
          </w:p>
        </w:tc>
      </w:tr>
      <w:tr w:rsidR="008F5B76" w:rsidRPr="008F5B76">
        <w:tc>
          <w:tcPr>
            <w:tcW w:w="594" w:type="dxa"/>
            <w:vMerge/>
          </w:tcPr>
          <w:p w:rsidR="00F85B75" w:rsidRPr="008F5B76" w:rsidRDefault="00F85B75"/>
        </w:tc>
        <w:tc>
          <w:tcPr>
            <w:tcW w:w="3628" w:type="dxa"/>
            <w:vMerge/>
          </w:tcPr>
          <w:p w:rsidR="00F85B75" w:rsidRPr="008F5B76" w:rsidRDefault="00F85B75"/>
        </w:tc>
        <w:tc>
          <w:tcPr>
            <w:tcW w:w="1276" w:type="dxa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районный центр</w:t>
            </w:r>
          </w:p>
        </w:tc>
        <w:tc>
          <w:tcPr>
            <w:tcW w:w="1134" w:type="dxa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центры сельских поселений</w:t>
            </w:r>
          </w:p>
        </w:tc>
        <w:tc>
          <w:tcPr>
            <w:tcW w:w="1134" w:type="dxa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прочие населенные пункты</w:t>
            </w:r>
          </w:p>
        </w:tc>
        <w:tc>
          <w:tcPr>
            <w:tcW w:w="1276" w:type="dxa"/>
            <w:vAlign w:val="center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вне границ населенного пункта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2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3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5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6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бытовых услуг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0,211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0,130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0,126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0,504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lastRenderedPageBreak/>
              <w:t>2.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ветеринарных услуг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0,435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0,206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0,169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0,839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3.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0,227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0,227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0,227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0,482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4.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автотранспортных услуг по перевозке грузов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0,754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0,754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0,754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0,839</w:t>
            </w:r>
          </w:p>
        </w:tc>
      </w:tr>
      <w:tr w:rsidR="008F5B76" w:rsidRPr="008F5B76">
        <w:tc>
          <w:tcPr>
            <w:tcW w:w="594" w:type="dxa"/>
            <w:tcBorders>
              <w:bottom w:val="nil"/>
            </w:tcBorders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5.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автотранспортных услуг по перевозке пассажиров: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</w:pP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</w:pP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</w:pP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</w:pPr>
          </w:p>
        </w:tc>
      </w:tr>
      <w:tr w:rsidR="008F5B76" w:rsidRPr="008F5B76">
        <w:tc>
          <w:tcPr>
            <w:tcW w:w="594" w:type="dxa"/>
            <w:tcBorders>
              <w:top w:val="nil"/>
              <w:bottom w:val="nil"/>
            </w:tcBorders>
          </w:tcPr>
          <w:p w:rsidR="00F85B75" w:rsidRPr="008F5B76" w:rsidRDefault="00F85B75">
            <w:pPr>
              <w:pStyle w:val="ConsPlusNormal"/>
            </w:pP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- автобусами, имеющими свыше 14 мест для сидения;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0,530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0,530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0,530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0,628</w:t>
            </w:r>
          </w:p>
        </w:tc>
      </w:tr>
      <w:tr w:rsidR="008F5B76" w:rsidRPr="008F5B76">
        <w:tc>
          <w:tcPr>
            <w:tcW w:w="594" w:type="dxa"/>
            <w:tcBorders>
              <w:top w:val="nil"/>
              <w:bottom w:val="nil"/>
            </w:tcBorders>
          </w:tcPr>
          <w:p w:rsidR="00F85B75" w:rsidRPr="008F5B76" w:rsidRDefault="00F85B75">
            <w:pPr>
              <w:pStyle w:val="ConsPlusNormal"/>
            </w:pP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- автобусами, имеющими до 15 мест для сидения;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0,588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0,588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0,588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0,698</w:t>
            </w:r>
          </w:p>
        </w:tc>
      </w:tr>
      <w:tr w:rsidR="008F5B76" w:rsidRPr="008F5B76">
        <w:tc>
          <w:tcPr>
            <w:tcW w:w="594" w:type="dxa"/>
            <w:tcBorders>
              <w:top w:val="nil"/>
            </w:tcBorders>
          </w:tcPr>
          <w:p w:rsidR="00F85B75" w:rsidRPr="008F5B76" w:rsidRDefault="00F85B75">
            <w:pPr>
              <w:pStyle w:val="ConsPlusNormal"/>
            </w:pP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- такси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0,617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0,617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0,617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0,698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6.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0,256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0,146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0,117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0,754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7.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0,296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0,170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0,128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0,772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8.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0,207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0,117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0,090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0,536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9.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Развозная и разносная розничная торговля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0,336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0,194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0,124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0,905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10.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0,234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0,144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0,128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0,624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11.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 xml:space="preserve">Оказание услуг общественного питания через объекты организации общественного питания, не </w:t>
            </w:r>
            <w:r w:rsidRPr="008F5B76">
              <w:lastRenderedPageBreak/>
              <w:t>имеющие залы обслуживания посетителей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lastRenderedPageBreak/>
              <w:t>0,234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0,130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0,128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0,543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lastRenderedPageBreak/>
              <w:t>12.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услуг по временному размещению и проживанию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0,220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0,161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0,081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0,383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13.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0,025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0,016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0,009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0,030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14.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0,020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0,013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0,006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0,025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15.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0,129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0,103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0,015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0,140</w:t>
            </w:r>
          </w:p>
        </w:tc>
      </w:tr>
      <w:tr w:rsidR="008F5B76" w:rsidRPr="008F5B76">
        <w:tc>
          <w:tcPr>
            <w:tcW w:w="59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16.</w:t>
            </w:r>
          </w:p>
        </w:tc>
        <w:tc>
          <w:tcPr>
            <w:tcW w:w="3628" w:type="dxa"/>
          </w:tcPr>
          <w:p w:rsidR="00F85B75" w:rsidRPr="008F5B76" w:rsidRDefault="00F85B75">
            <w:pPr>
              <w:pStyle w:val="ConsPlusNormal"/>
            </w:pPr>
            <w:r w:rsidRPr="008F5B76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</w:t>
            </w:r>
            <w:r w:rsidRPr="008F5B76">
              <w:lastRenderedPageBreak/>
              <w:t>метров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lastRenderedPageBreak/>
              <w:t>0,086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0,066</w:t>
            </w:r>
          </w:p>
        </w:tc>
        <w:tc>
          <w:tcPr>
            <w:tcW w:w="1134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0,009</w:t>
            </w:r>
          </w:p>
        </w:tc>
        <w:tc>
          <w:tcPr>
            <w:tcW w:w="1276" w:type="dxa"/>
          </w:tcPr>
          <w:p w:rsidR="00F85B75" w:rsidRPr="008F5B76" w:rsidRDefault="00F85B75">
            <w:pPr>
              <w:pStyle w:val="ConsPlusNormal"/>
              <w:jc w:val="center"/>
            </w:pPr>
            <w:r w:rsidRPr="008F5B76">
              <w:t>0,091".</w:t>
            </w:r>
          </w:p>
        </w:tc>
      </w:tr>
    </w:tbl>
    <w:p w:rsidR="00F85B75" w:rsidRPr="008F5B76" w:rsidRDefault="00F85B75">
      <w:pPr>
        <w:pStyle w:val="ConsPlusNormal"/>
        <w:jc w:val="both"/>
      </w:pPr>
      <w:r w:rsidRPr="008F5B76">
        <w:lastRenderedPageBreak/>
        <w:t xml:space="preserve">(п. 5.1 в ред. решения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23.11.2018 N 3/13-IV)</w:t>
      </w:r>
    </w:p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ind w:firstLine="540"/>
        <w:jc w:val="both"/>
      </w:pPr>
      <w:r w:rsidRPr="008F5B76">
        <w:t xml:space="preserve">5.2 - 5.4. Утратили силу с 1 января 2018 года. - Решение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08.11.2017 N 41/297-III.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5.5. Коэффициент, учитывающий инвестиционную деятельность (</w:t>
      </w:r>
      <w:proofErr w:type="spellStart"/>
      <w:r w:rsidRPr="008F5B76">
        <w:t>Кид</w:t>
      </w:r>
      <w:proofErr w:type="spellEnd"/>
      <w:r w:rsidRPr="008F5B76">
        <w:t>):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0,1 - для хозяйствующих субъектов, реализующих инвестиционные проекты на территории района. Применяется на срок окупаемости инвестиционного проекта, но не выше расчетного срока окупаемости инвестиционного проекта при подтверждении администрацией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При отсутствии сведений о реализации инвестиционных проектов коэффициент (</w:t>
      </w:r>
      <w:proofErr w:type="spellStart"/>
      <w:r w:rsidRPr="008F5B76">
        <w:t>Кид</w:t>
      </w:r>
      <w:proofErr w:type="spellEnd"/>
      <w:r w:rsidRPr="008F5B76">
        <w:t>) считать равным 1,0.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6. Установить, что для предпринимателей, занятых в сфере торговли, ставших на временный налоговый учет и осуществляющих свою деятельность в различных населенных пунктах района в объектах нестационарной торговой сети, применяется К</w:t>
      </w:r>
      <w:proofErr w:type="gramStart"/>
      <w:r w:rsidRPr="008F5B76">
        <w:t>2</w:t>
      </w:r>
      <w:proofErr w:type="gramEnd"/>
      <w:r w:rsidRPr="008F5B76">
        <w:t>, установленный для села Степного.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7. С момента вступления в силу настоящего решения признать утратившими силу решения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края: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от 30 октября 2008 года N 7/48-II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края";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от 31 октября 2012 года N 48/316-II "О внесении изменений в решение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30 октября 2008 года N 7/48-II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края";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от 08 февраля 2013 года N 51/337-II "О внесении изменений в решение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30 октября 2008 года N 7/48-II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края";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 xml:space="preserve">от 31 октября 2014 года N 9/92-III "О внесении изменений в решение Совета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 от 30 октября 2008 года N 7/48-II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F5B76">
        <w:t>Степновского</w:t>
      </w:r>
      <w:proofErr w:type="spellEnd"/>
      <w:r w:rsidRPr="008F5B76">
        <w:t xml:space="preserve"> муниципального района Ставропольского края".</w:t>
      </w:r>
    </w:p>
    <w:p w:rsidR="00F85B75" w:rsidRPr="008F5B76" w:rsidRDefault="00F85B75">
      <w:pPr>
        <w:pStyle w:val="ConsPlusNormal"/>
        <w:spacing w:before="220"/>
        <w:ind w:firstLine="540"/>
        <w:jc w:val="both"/>
      </w:pPr>
      <w:r w:rsidRPr="008F5B76">
        <w:t>8. Настоящее решение вступает в силу с 1 января 2016 года, но не ранее чем по истечении одного месяца со дня официального опубликования.</w:t>
      </w:r>
    </w:p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jc w:val="right"/>
      </w:pPr>
      <w:r w:rsidRPr="008F5B76">
        <w:t>Председатель Совета</w:t>
      </w:r>
    </w:p>
    <w:p w:rsidR="00F85B75" w:rsidRPr="008F5B76" w:rsidRDefault="00F85B75">
      <w:pPr>
        <w:pStyle w:val="ConsPlusNormal"/>
        <w:jc w:val="right"/>
      </w:pPr>
      <w:proofErr w:type="spellStart"/>
      <w:r w:rsidRPr="008F5B76">
        <w:t>Степновского</w:t>
      </w:r>
      <w:proofErr w:type="spellEnd"/>
      <w:r w:rsidRPr="008F5B76">
        <w:t xml:space="preserve"> муниципального</w:t>
      </w:r>
    </w:p>
    <w:p w:rsidR="00F85B75" w:rsidRPr="008F5B76" w:rsidRDefault="00F85B75">
      <w:pPr>
        <w:pStyle w:val="ConsPlusNormal"/>
        <w:jc w:val="right"/>
      </w:pPr>
      <w:r w:rsidRPr="008F5B76">
        <w:t>района Ставропольского края</w:t>
      </w:r>
    </w:p>
    <w:p w:rsidR="00F85B75" w:rsidRPr="008F5B76" w:rsidRDefault="00F85B75">
      <w:pPr>
        <w:pStyle w:val="ConsPlusNormal"/>
        <w:jc w:val="right"/>
      </w:pPr>
      <w:r w:rsidRPr="008F5B76">
        <w:t>А.Н.ЛИТВИНЕНКО</w:t>
      </w:r>
    </w:p>
    <w:p w:rsidR="00F85B75" w:rsidRPr="008F5B76" w:rsidRDefault="00F85B75">
      <w:pPr>
        <w:pStyle w:val="ConsPlusNormal"/>
        <w:jc w:val="both"/>
      </w:pPr>
    </w:p>
    <w:p w:rsidR="00F85B75" w:rsidRPr="008F5B76" w:rsidRDefault="00F85B75">
      <w:pPr>
        <w:pStyle w:val="ConsPlusNormal"/>
        <w:jc w:val="right"/>
      </w:pPr>
      <w:r w:rsidRPr="008F5B76">
        <w:t xml:space="preserve">Глава </w:t>
      </w:r>
      <w:proofErr w:type="spellStart"/>
      <w:r w:rsidRPr="008F5B76">
        <w:t>Степновского</w:t>
      </w:r>
      <w:proofErr w:type="spellEnd"/>
    </w:p>
    <w:p w:rsidR="00F85B75" w:rsidRPr="008F5B76" w:rsidRDefault="00F85B75">
      <w:pPr>
        <w:pStyle w:val="ConsPlusNormal"/>
        <w:jc w:val="right"/>
      </w:pPr>
      <w:r w:rsidRPr="008F5B76">
        <w:t>муниципального района</w:t>
      </w:r>
    </w:p>
    <w:p w:rsidR="00F85B75" w:rsidRPr="008F5B76" w:rsidRDefault="00F85B75">
      <w:pPr>
        <w:pStyle w:val="ConsPlusNormal"/>
        <w:jc w:val="right"/>
      </w:pPr>
      <w:r w:rsidRPr="008F5B76">
        <w:t>Ставропольского края</w:t>
      </w:r>
    </w:p>
    <w:p w:rsidR="00F85B75" w:rsidRPr="008F5B76" w:rsidRDefault="00F85B75">
      <w:pPr>
        <w:pStyle w:val="ConsPlusNormal"/>
        <w:jc w:val="right"/>
      </w:pPr>
      <w:r w:rsidRPr="008F5B76">
        <w:t>С.В.ЛОБАНОВ</w:t>
      </w:r>
    </w:p>
    <w:sectPr w:rsidR="00F85B75" w:rsidRPr="008F5B76" w:rsidSect="00F85B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75"/>
    <w:rsid w:val="00590006"/>
    <w:rsid w:val="008F5B76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2020-01-13T08:56:00Z</dcterms:created>
  <dcterms:modified xsi:type="dcterms:W3CDTF">2020-01-21T08:04:00Z</dcterms:modified>
</cp:coreProperties>
</file>