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СОВЕТ АЛЕКСАНДРОВСКОГО МУНИЦИПАЛЬНОГО РАЙОНА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3B6F">
        <w:rPr>
          <w:rFonts w:ascii="Times New Roman" w:hAnsi="Times New Roman" w:cs="Times New Roman"/>
          <w:sz w:val="24"/>
          <w:szCs w:val="24"/>
        </w:rPr>
        <w:t>РЕШЕНИЕ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от 28 ноября 2008 г. N 95/69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О ВВЕДЕНИИ В ДЕЙСТВИЕ СИСТЕМЫ НАЛОГООБЛОЖЕНИЯ В ВИДЕ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ЕДИНОГО НАЛОГА НА ВМЕНЕННЫЙ ДОХОД ДЛЯ ОТДЕЛЬНЫХ ВИДОВ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ДЕЯТЕЛЬНОСТИ НА ТЕРРИТОРИИ АЛЕКСАНДРОВСКОГО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 СТАВРОПОЛЬСКОГО КРАЯ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>(в ред. решений совета Александровского муниципального района</w:t>
      </w:r>
      <w:proofErr w:type="gramEnd"/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Ставропольского края от 28.05.2010 </w:t>
      </w:r>
      <w:hyperlink r:id="rId7" w:history="1">
        <w:r w:rsidRPr="00183B6F">
          <w:rPr>
            <w:rFonts w:ascii="Times New Roman" w:hAnsi="Times New Roman" w:cs="Times New Roman"/>
            <w:sz w:val="24"/>
            <w:szCs w:val="24"/>
          </w:rPr>
          <w:t>N 293/58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29.11.2010 </w:t>
      </w:r>
      <w:hyperlink r:id="rId8" w:history="1">
        <w:r w:rsidRPr="00183B6F">
          <w:rPr>
            <w:rFonts w:ascii="Times New Roman" w:hAnsi="Times New Roman" w:cs="Times New Roman"/>
            <w:sz w:val="24"/>
            <w:szCs w:val="24"/>
          </w:rPr>
          <w:t>N 358/123</w:t>
        </w:r>
      </w:hyperlink>
      <w:r w:rsidRPr="00183B6F">
        <w:rPr>
          <w:rFonts w:ascii="Times New Roman" w:hAnsi="Times New Roman" w:cs="Times New Roman"/>
          <w:sz w:val="24"/>
          <w:szCs w:val="24"/>
        </w:rPr>
        <w:t>,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от 21.10.2011 </w:t>
      </w:r>
      <w:hyperlink r:id="rId9" w:history="1">
        <w:r w:rsidRPr="00183B6F">
          <w:rPr>
            <w:rFonts w:ascii="Times New Roman" w:hAnsi="Times New Roman" w:cs="Times New Roman"/>
            <w:sz w:val="24"/>
            <w:szCs w:val="24"/>
          </w:rPr>
          <w:t>N 443/70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14.11.2011 </w:t>
      </w:r>
      <w:hyperlink r:id="rId10" w:history="1">
        <w:r w:rsidRPr="00183B6F">
          <w:rPr>
            <w:rFonts w:ascii="Times New Roman" w:hAnsi="Times New Roman" w:cs="Times New Roman"/>
            <w:sz w:val="24"/>
            <w:szCs w:val="24"/>
          </w:rPr>
          <w:t>N 460/87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19.10.2012 </w:t>
      </w:r>
      <w:hyperlink r:id="rId11" w:history="1">
        <w:r w:rsidRPr="00183B6F">
          <w:rPr>
            <w:rFonts w:ascii="Times New Roman" w:hAnsi="Times New Roman" w:cs="Times New Roman"/>
            <w:sz w:val="24"/>
            <w:szCs w:val="24"/>
          </w:rPr>
          <w:t>N 568/77</w:t>
        </w:r>
      </w:hyperlink>
      <w:r w:rsidRPr="00183B6F">
        <w:rPr>
          <w:rFonts w:ascii="Times New Roman" w:hAnsi="Times New Roman" w:cs="Times New Roman"/>
          <w:sz w:val="24"/>
          <w:szCs w:val="24"/>
        </w:rPr>
        <w:t>,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от 01.03.2013 </w:t>
      </w:r>
      <w:hyperlink r:id="rId12" w:history="1">
        <w:r w:rsidRPr="00183B6F">
          <w:rPr>
            <w:rFonts w:ascii="Times New Roman" w:hAnsi="Times New Roman" w:cs="Times New Roman"/>
            <w:sz w:val="24"/>
            <w:szCs w:val="24"/>
          </w:rPr>
          <w:t>N 52/16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18.10.2013 </w:t>
      </w:r>
      <w:hyperlink r:id="rId13" w:history="1">
        <w:r w:rsidRPr="00183B6F">
          <w:rPr>
            <w:rFonts w:ascii="Times New Roman" w:hAnsi="Times New Roman" w:cs="Times New Roman"/>
            <w:sz w:val="24"/>
            <w:szCs w:val="24"/>
          </w:rPr>
          <w:t>N 139/103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24.10.2014 </w:t>
      </w:r>
      <w:hyperlink r:id="rId14" w:history="1">
        <w:r w:rsidRPr="00183B6F">
          <w:rPr>
            <w:rFonts w:ascii="Times New Roman" w:hAnsi="Times New Roman" w:cs="Times New Roman"/>
            <w:sz w:val="24"/>
            <w:szCs w:val="24"/>
          </w:rPr>
          <w:t>N 277/99</w:t>
        </w:r>
      </w:hyperlink>
      <w:r w:rsidRPr="00183B6F">
        <w:rPr>
          <w:rFonts w:ascii="Times New Roman" w:hAnsi="Times New Roman" w:cs="Times New Roman"/>
          <w:sz w:val="24"/>
          <w:szCs w:val="24"/>
        </w:rPr>
        <w:t>,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от 09.10.2015 </w:t>
      </w:r>
      <w:hyperlink r:id="rId15" w:history="1">
        <w:r w:rsidRPr="00183B6F">
          <w:rPr>
            <w:rFonts w:ascii="Times New Roman" w:hAnsi="Times New Roman" w:cs="Times New Roman"/>
            <w:sz w:val="24"/>
            <w:szCs w:val="24"/>
          </w:rPr>
          <w:t>N 424/103</w:t>
        </w:r>
      </w:hyperlink>
      <w:r w:rsidRPr="00183B6F">
        <w:rPr>
          <w:rFonts w:ascii="Times New Roman" w:hAnsi="Times New Roman" w:cs="Times New Roman"/>
          <w:sz w:val="24"/>
          <w:szCs w:val="24"/>
        </w:rPr>
        <w:t>)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0"/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Pr="00183B6F">
          <w:rPr>
            <w:rFonts w:ascii="Times New Roman" w:hAnsi="Times New Roman" w:cs="Times New Roman"/>
            <w:sz w:val="24"/>
            <w:szCs w:val="24"/>
          </w:rPr>
          <w:t>главой 26.3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</w:t>
      </w:r>
      <w:hyperlink r:id="rId17" w:history="1">
        <w:r w:rsidRPr="00183B6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Александровского муниципального района Ставропольского края совет Александровского муниципального района Ставропольского края второго созыва решил: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1. </w:t>
      </w:r>
      <w:hyperlink r:id="rId18" w:history="1">
        <w:r w:rsidRPr="00183B6F">
          <w:rPr>
            <w:rFonts w:ascii="Times New Roman" w:hAnsi="Times New Roman" w:cs="Times New Roman"/>
            <w:sz w:val="24"/>
            <w:szCs w:val="24"/>
          </w:rPr>
          <w:t>Ввести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в действие на территории Александровского муниципального района Ставропольского края систему налогообложения в виде единого налога на вмененный доход для отдельных видов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2. Установить </w:t>
      </w:r>
      <w:hyperlink w:anchor="P46" w:history="1">
        <w:r w:rsidRPr="00183B6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видов предпринимательской деятельности, в отношении которых вводится система налогообложения в виде единого налога на вмененный доход на территории Александровского муниципального района Ставропольского края, согласно приложению 1.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84" w:history="1">
        <w:r w:rsidRPr="00183B6F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корректирующего коэффициента базовой доходности К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деятельности, согласно приложению 2.</w:t>
      </w:r>
    </w:p>
    <w:p w:rsidR="00A72C40" w:rsidRPr="00183B6F" w:rsidRDefault="00A72C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Ставропольского края от 14.11.2011 N 460/87)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4. Утвердить </w:t>
      </w:r>
      <w:hyperlink w:anchor="P324" w:history="1">
        <w:r w:rsidRPr="00183B6F">
          <w:rPr>
            <w:rFonts w:ascii="Times New Roman" w:hAnsi="Times New Roman" w:cs="Times New Roman"/>
            <w:sz w:val="24"/>
            <w:szCs w:val="24"/>
          </w:rPr>
          <w:t>границы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центра с. Александровского </w:t>
      </w:r>
      <w:proofErr w:type="spellStart"/>
      <w:proofErr w:type="gramStart"/>
      <w:r w:rsidRPr="00183B6F">
        <w:rPr>
          <w:rFonts w:ascii="Times New Roman" w:hAnsi="Times New Roman" w:cs="Times New Roman"/>
          <w:sz w:val="24"/>
          <w:szCs w:val="24"/>
        </w:rPr>
        <w:t>Александровского</w:t>
      </w:r>
      <w:proofErr w:type="spellEnd"/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района Ставропольского края для целей налогообложения, согласно приложению 3.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5. Признать утратившими силу решения совета Александровского муниципального района Ставропольского края от 24 ноября 2005 года N 88 "О введении системы налогообложения в виде единого налога на вмененный доход для отдельных видов деятельности на территории Александровского муниципального района Ставропольского края", решение совета Александровского муниципального района Ставропольского края от 27 апреля 2007 года N 177/20 "Об определении значений корректирующего коэффициента К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в системе налогообложения в виде единого налога на вмененный доход для отдельных видов деятельности на территории Александровского муниципального района Ставропольского края на 2007 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год", решение совета Александровского муниципального района Ставропольского края от 26 октября 2007 года N 228/71 "О внесении изменений в решение совета Александровского муниципального района от 24.11.2005 N 88 "О введении системы налогообложения в виде единого налога на вмененный доход для отдельных видов деятельности на территории Александровского муниципального района Ставропольского края".</w:t>
      </w:r>
      <w:proofErr w:type="gramEnd"/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6. Администрации Александровского муниципального района Ставропольского края опубликовать настоящее решение в районной газете "Александровская жизнь" в срок до 01.12.2008.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7. Настоящее решение вступает в силу с 01.01.2009.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депутатскую комиссию по бюджету, экономике, налогам и собственности совета Александровского муниципального района Ставропольского края.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Глава Александровского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С.Л.ИЛЬИН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к решению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совета Александровского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от 28 ноября 2008 г. N 95/69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183B6F">
        <w:rPr>
          <w:rFonts w:ascii="Times New Roman" w:hAnsi="Times New Roman" w:cs="Times New Roman"/>
          <w:sz w:val="24"/>
          <w:szCs w:val="24"/>
        </w:rPr>
        <w:t>ПЕРЕЧЕНЬ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ВИДОВ ПРЕДПРИНИМАТЕЛЬСКОЙ ДЕЯТЕЛЬНОСТИ, В ОТНОШЕНИИ КОТОРЫХ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ВВОДИТСЯ СИСТЕМА НАЛОГООБЛОЖЕНИЯ В ВИДЕ ЕДИНОГО НАЛОГА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НА ВМЕНЕННЫЙ ДОХОД НА ТЕРРИТОРИИ АЛЕКСАНДРОВСКОГО</w:t>
      </w:r>
    </w:p>
    <w:p w:rsidR="00A72C40" w:rsidRPr="00183B6F" w:rsidRDefault="00A72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 СТАВРОПОЛЬСКОГО КРАЯ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</w:t>
      </w:r>
      <w:proofErr w:type="gramEnd"/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>Ставропольского края от 01.03.2013 N 52/16)</w:t>
      </w:r>
      <w:proofErr w:type="gramEnd"/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21" w:history="1">
        <w:r w:rsidRPr="00183B6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A72C40" w:rsidRPr="00183B6F" w:rsidRDefault="00A72C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2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Ставропольского края от 01.03.2013 N 52/16)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72C40" w:rsidRPr="00183B6F" w:rsidRDefault="00A72C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23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Ставропольского края от 01.03.2013 N 52/16)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A72C40" w:rsidRPr="00183B6F" w:rsidRDefault="00A72C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(п. 11 в ред. </w:t>
      </w:r>
      <w:hyperlink r:id="rId24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Ставропольского края от 01.03.2013 N 52/16)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72C40" w:rsidRPr="00183B6F" w:rsidRDefault="00A72C40">
      <w:pPr>
        <w:rPr>
          <w:rFonts w:ascii="Times New Roman" w:hAnsi="Times New Roman" w:cs="Times New Roman"/>
          <w:sz w:val="24"/>
          <w:szCs w:val="24"/>
        </w:rPr>
        <w:sectPr w:rsidR="00A72C40" w:rsidRPr="00183B6F" w:rsidSect="00D704E5">
          <w:headerReference w:type="default" r:id="rId25"/>
          <w:pgSz w:w="11906" w:h="16838"/>
          <w:pgMar w:top="567" w:right="567" w:bottom="709" w:left="567" w:header="709" w:footer="709" w:gutter="0"/>
          <w:cols w:space="708"/>
          <w:titlePg/>
          <w:docGrid w:linePitch="360"/>
        </w:sectPr>
      </w:pP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к решению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совета Александровского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от 28 ноября 2008 г. N 95/69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183B6F">
        <w:rPr>
          <w:rFonts w:ascii="Times New Roman" w:hAnsi="Times New Roman" w:cs="Times New Roman"/>
          <w:sz w:val="24"/>
          <w:szCs w:val="24"/>
        </w:rPr>
        <w:t>ЗНАЧЕНИЕ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КОРРЕКТИРУЮЩЕГО КОЭФФИЦИЕНТА БАЗОВОЙ ДОХОДНОСТИ К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>,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УЧИТЫВАЮЩЕГО СОВОКУПНОСТЬ ОСОБЕННОСТЕЙ ВЕДЕНИЯ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ПРЕДПРИНИМАТЕЛЬСКОЙ ДЕЯТЕЛЬНОСТИ, НА 2016 ГОД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>(в ред. решений совета Александровского муниципального района</w:t>
      </w:r>
      <w:proofErr w:type="gramEnd"/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 xml:space="preserve">Ставропольского края от 24.10.2014 </w:t>
      </w:r>
      <w:hyperlink r:id="rId26" w:history="1">
        <w:r w:rsidRPr="00183B6F">
          <w:rPr>
            <w:rFonts w:ascii="Times New Roman" w:hAnsi="Times New Roman" w:cs="Times New Roman"/>
            <w:sz w:val="24"/>
            <w:szCs w:val="24"/>
          </w:rPr>
          <w:t>N 277/99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, от 09.10.2015 </w:t>
      </w:r>
      <w:hyperlink r:id="rId27" w:history="1">
        <w:r w:rsidRPr="00183B6F">
          <w:rPr>
            <w:rFonts w:ascii="Times New Roman" w:hAnsi="Times New Roman" w:cs="Times New Roman"/>
            <w:sz w:val="24"/>
            <w:szCs w:val="24"/>
          </w:rPr>
          <w:t>N 424/103</w:t>
        </w:r>
      </w:hyperlink>
      <w:r w:rsidRPr="00183B6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43CFC" w:rsidRPr="00183B6F" w:rsidRDefault="00143C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76"/>
        <w:gridCol w:w="1275"/>
        <w:gridCol w:w="1985"/>
        <w:gridCol w:w="992"/>
        <w:gridCol w:w="1559"/>
      </w:tblGrid>
      <w:tr w:rsidR="00183B6F" w:rsidRPr="00183B6F" w:rsidTr="00143CFC">
        <w:tc>
          <w:tcPr>
            <w:tcW w:w="567" w:type="dxa"/>
            <w:vMerge w:val="restart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2551" w:type="dxa"/>
            <w:gridSpan w:val="2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Более 10 тыс. человек</w:t>
            </w:r>
          </w:p>
        </w:tc>
        <w:tc>
          <w:tcPr>
            <w:tcW w:w="1985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От 3 тыс. до 10 тыс. человек</w:t>
            </w:r>
          </w:p>
        </w:tc>
        <w:tc>
          <w:tcPr>
            <w:tcW w:w="992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Менее 3 тыс. человек</w:t>
            </w:r>
          </w:p>
        </w:tc>
        <w:tc>
          <w:tcPr>
            <w:tcW w:w="1559" w:type="dxa"/>
            <w:vMerge w:val="restart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</w:t>
            </w:r>
          </w:p>
        </w:tc>
      </w:tr>
      <w:tr w:rsidR="00183B6F" w:rsidRPr="00183B6F" w:rsidTr="00143CFC">
        <w:tc>
          <w:tcPr>
            <w:tcW w:w="567" w:type="dxa"/>
            <w:vMerge/>
          </w:tcPr>
          <w:p w:rsidR="00A72C40" w:rsidRPr="00183B6F" w:rsidRDefault="00A7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72C40" w:rsidRPr="00183B6F" w:rsidRDefault="00A7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с. Александровское (центр)</w:t>
            </w:r>
          </w:p>
        </w:tc>
        <w:tc>
          <w:tcPr>
            <w:tcW w:w="1275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с. Александровское (прочие)</w:t>
            </w:r>
          </w:p>
        </w:tc>
        <w:tc>
          <w:tcPr>
            <w:tcW w:w="1985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Грушевское</w:t>
            </w:r>
            <w:proofErr w:type="spellEnd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CFC" w:rsidRPr="00183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Калиновское</w:t>
            </w:r>
            <w:proofErr w:type="spellEnd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CFC" w:rsidRPr="00183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с. Северное, </w:t>
            </w:r>
            <w:r w:rsidR="00143CFC" w:rsidRPr="00183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с. Саблинское, </w:t>
            </w:r>
            <w:r w:rsidR="00143CFC" w:rsidRPr="00183B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Круглолесское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559" w:type="dxa"/>
            <w:vMerge/>
          </w:tcPr>
          <w:p w:rsidR="00A72C40" w:rsidRPr="00183B6F" w:rsidRDefault="00A7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0.248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0,186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0,324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0,324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0,233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0,324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0,403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0,403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0,363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0,403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0,214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0,214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грузов:</w:t>
            </w:r>
          </w:p>
        </w:tc>
        <w:tc>
          <w:tcPr>
            <w:tcW w:w="1276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до 1,5 тонн включительно;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свыше 1,5 до 5 тонн включительно;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свыше 5 тонн</w:t>
            </w:r>
          </w:p>
        </w:tc>
        <w:tc>
          <w:tcPr>
            <w:tcW w:w="1276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7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98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183B6F" w:rsidRPr="00183B6F" w:rsidTr="00143CFC">
        <w:tc>
          <w:tcPr>
            <w:tcW w:w="567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пассажиров: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до 4 посадочных ме</w:t>
            </w:r>
            <w:proofErr w:type="gramStart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ст вкл</w:t>
            </w:r>
            <w:proofErr w:type="gramEnd"/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276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127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198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992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  <w:tc>
          <w:tcPr>
            <w:tcW w:w="1559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0,673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свыше 4 посадочных мест</w:t>
            </w:r>
          </w:p>
        </w:tc>
        <w:tc>
          <w:tcPr>
            <w:tcW w:w="1276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  <w:tc>
          <w:tcPr>
            <w:tcW w:w="127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  <w:tc>
          <w:tcPr>
            <w:tcW w:w="198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  <w:tc>
          <w:tcPr>
            <w:tcW w:w="992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  <w:tc>
          <w:tcPr>
            <w:tcW w:w="1559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сети, имеющие торговые залы, в том числе:</w:t>
            </w:r>
          </w:p>
        </w:tc>
        <w:tc>
          <w:tcPr>
            <w:tcW w:w="1276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преимущественно продовольственные товары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0,371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0,223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0,193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0,371</w:t>
            </w:r>
          </w:p>
        </w:tc>
      </w:tr>
      <w:tr w:rsidR="00183B6F" w:rsidRPr="00183B6F" w:rsidTr="00143CF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- непродовольственные товары</w:t>
            </w:r>
          </w:p>
        </w:tc>
        <w:tc>
          <w:tcPr>
            <w:tcW w:w="1276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0,418</w:t>
            </w:r>
          </w:p>
        </w:tc>
        <w:tc>
          <w:tcPr>
            <w:tcW w:w="127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0,343</w:t>
            </w:r>
          </w:p>
        </w:tc>
        <w:tc>
          <w:tcPr>
            <w:tcW w:w="1985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0,268</w:t>
            </w:r>
          </w:p>
        </w:tc>
        <w:tc>
          <w:tcPr>
            <w:tcW w:w="992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0,252</w:t>
            </w:r>
          </w:p>
        </w:tc>
        <w:tc>
          <w:tcPr>
            <w:tcW w:w="1559" w:type="dxa"/>
            <w:tcBorders>
              <w:top w:val="nil"/>
            </w:tcBorders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0,418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стационарной торговой сети, не имеющие торговых </w:t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0,455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0,753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0,455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0,257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0,257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0,257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0,186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</w:t>
            </w: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табло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0,683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0,819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0,214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0,186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</w:tr>
      <w:tr w:rsidR="00183B6F" w:rsidRPr="00183B6F" w:rsidTr="00143CFC">
        <w:tc>
          <w:tcPr>
            <w:tcW w:w="567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:rsidR="00A72C40" w:rsidRPr="00183B6F" w:rsidRDefault="00A72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76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27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  <w:tc>
          <w:tcPr>
            <w:tcW w:w="1985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0,214</w:t>
            </w:r>
          </w:p>
        </w:tc>
        <w:tc>
          <w:tcPr>
            <w:tcW w:w="992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0,186</w:t>
            </w:r>
          </w:p>
        </w:tc>
        <w:tc>
          <w:tcPr>
            <w:tcW w:w="1559" w:type="dxa"/>
          </w:tcPr>
          <w:p w:rsidR="00A72C40" w:rsidRPr="00183B6F" w:rsidRDefault="00A7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B6F">
              <w:rPr>
                <w:rFonts w:ascii="Times New Roman" w:hAnsi="Times New Roman" w:cs="Times New Roman"/>
                <w:sz w:val="24"/>
                <w:szCs w:val="24"/>
              </w:rPr>
              <w:t>0,286</w:t>
            </w:r>
          </w:p>
        </w:tc>
      </w:tr>
    </w:tbl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43CFC" w:rsidRPr="00183B6F" w:rsidRDefault="00143CFC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43CFC" w:rsidRPr="00183B6F" w:rsidRDefault="00143CFC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43CFC" w:rsidRPr="00183B6F" w:rsidRDefault="00143CFC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43CFC" w:rsidRPr="00183B6F" w:rsidRDefault="00143CFC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D704E5" w:rsidRPr="00183B6F" w:rsidRDefault="00D704E5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к решению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совета Александровского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A72C40" w:rsidRPr="00183B6F" w:rsidRDefault="00A72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от 28 ноября 2008 г. N 95/69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24"/>
      <w:bookmarkEnd w:id="3"/>
      <w:r w:rsidRPr="00183B6F">
        <w:rPr>
          <w:rFonts w:ascii="Times New Roman" w:hAnsi="Times New Roman" w:cs="Times New Roman"/>
          <w:sz w:val="24"/>
          <w:szCs w:val="24"/>
        </w:rPr>
        <w:t>ГРАНИЦЫ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ЦЕНТРА С. АЛЕКСАНДРОВСКОГО </w:t>
      </w:r>
      <w:proofErr w:type="spellStart"/>
      <w:proofErr w:type="gramStart"/>
      <w:r w:rsidRPr="00183B6F">
        <w:rPr>
          <w:rFonts w:ascii="Times New Roman" w:hAnsi="Times New Roman" w:cs="Times New Roman"/>
          <w:sz w:val="24"/>
          <w:szCs w:val="24"/>
        </w:rPr>
        <w:t>АЛЕКСАНДРОВСКОГО</w:t>
      </w:r>
      <w:proofErr w:type="spellEnd"/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СТАВРОПОЛЬСКОГО КРАЯ ДЛЯ ЦЕЛЕЙ НАЛОГООБЛОЖЕНИЯ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</w:t>
      </w:r>
      <w:proofErr w:type="gramEnd"/>
    </w:p>
    <w:p w:rsidR="00A72C40" w:rsidRPr="00183B6F" w:rsidRDefault="00A72C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B6F">
        <w:rPr>
          <w:rFonts w:ascii="Times New Roman" w:hAnsi="Times New Roman" w:cs="Times New Roman"/>
          <w:sz w:val="24"/>
          <w:szCs w:val="24"/>
        </w:rPr>
        <w:t>Ставропольского края от 14.11.2011 N 460/87)</w:t>
      </w:r>
      <w:proofErr w:type="gramEnd"/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Границы территорий с. Александровского для применения </w:t>
      </w:r>
      <w:hyperlink w:anchor="P84" w:history="1">
        <w:r w:rsidRPr="00183B6F">
          <w:rPr>
            <w:rFonts w:ascii="Times New Roman" w:hAnsi="Times New Roman" w:cs="Times New Roman"/>
            <w:sz w:val="24"/>
            <w:szCs w:val="24"/>
          </w:rPr>
          <w:t>значения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корректирующего коэффициента базовой доходности К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в столбце "Александровское (центр)" таблицы "Значение корректирующего коэффициента базовой доходности К2, учитывающего совокупность особенностей ведения предпринимательской деятельности":</w:t>
      </w:r>
    </w:p>
    <w:p w:rsidR="00A72C40" w:rsidRPr="00183B6F" w:rsidRDefault="00A72C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183B6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183B6F">
        <w:rPr>
          <w:rFonts w:ascii="Times New Roman" w:hAnsi="Times New Roman" w:cs="Times New Roman"/>
          <w:sz w:val="24"/>
          <w:szCs w:val="24"/>
        </w:rPr>
        <w:t xml:space="preserve"> совета Александровского муниципального района Ставропольского края от 14.11.2011 N 460/87)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- ул. К. Маркса, 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ограниченная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улицей </w:t>
      </w:r>
      <w:proofErr w:type="spellStart"/>
      <w:r w:rsidRPr="00183B6F">
        <w:rPr>
          <w:rFonts w:ascii="Times New Roman" w:hAnsi="Times New Roman" w:cs="Times New Roman"/>
          <w:sz w:val="24"/>
          <w:szCs w:val="24"/>
        </w:rPr>
        <w:t>Войтика</w:t>
      </w:r>
      <w:proofErr w:type="spellEnd"/>
      <w:r w:rsidRPr="00183B6F">
        <w:rPr>
          <w:rFonts w:ascii="Times New Roman" w:hAnsi="Times New Roman" w:cs="Times New Roman"/>
          <w:sz w:val="24"/>
          <w:szCs w:val="24"/>
        </w:rPr>
        <w:t xml:space="preserve"> и ул. Калинина,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- ул. Калинина от ул. Звеньевая до пересечения с ул. </w:t>
      </w:r>
      <w:proofErr w:type="spellStart"/>
      <w:r w:rsidRPr="00183B6F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183B6F">
        <w:rPr>
          <w:rFonts w:ascii="Times New Roman" w:hAnsi="Times New Roman" w:cs="Times New Roman"/>
          <w:sz w:val="24"/>
          <w:szCs w:val="24"/>
        </w:rPr>
        <w:t>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183B6F">
        <w:rPr>
          <w:rFonts w:ascii="Times New Roman" w:hAnsi="Times New Roman" w:cs="Times New Roman"/>
          <w:sz w:val="24"/>
          <w:szCs w:val="24"/>
        </w:rPr>
        <w:t>Войтика</w:t>
      </w:r>
      <w:proofErr w:type="spellEnd"/>
      <w:r w:rsidRPr="00183B6F">
        <w:rPr>
          <w:rFonts w:ascii="Times New Roman" w:hAnsi="Times New Roman" w:cs="Times New Roman"/>
          <w:sz w:val="24"/>
          <w:szCs w:val="24"/>
        </w:rPr>
        <w:t xml:space="preserve"> от пересечения с ул. </w:t>
      </w:r>
      <w:proofErr w:type="gramStart"/>
      <w:r w:rsidRPr="00183B6F">
        <w:rPr>
          <w:rFonts w:ascii="Times New Roman" w:hAnsi="Times New Roman" w:cs="Times New Roman"/>
          <w:sz w:val="24"/>
          <w:szCs w:val="24"/>
        </w:rPr>
        <w:t>Комсомольской</w:t>
      </w:r>
      <w:proofErr w:type="gramEnd"/>
      <w:r w:rsidRPr="00183B6F">
        <w:rPr>
          <w:rFonts w:ascii="Times New Roman" w:hAnsi="Times New Roman" w:cs="Times New Roman"/>
          <w:sz w:val="24"/>
          <w:szCs w:val="24"/>
        </w:rPr>
        <w:t xml:space="preserve"> до пересечения с ул. Виноградная,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183B6F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183B6F">
        <w:rPr>
          <w:rFonts w:ascii="Times New Roman" w:hAnsi="Times New Roman" w:cs="Times New Roman"/>
          <w:sz w:val="24"/>
          <w:szCs w:val="24"/>
        </w:rPr>
        <w:t xml:space="preserve"> от пересечения с ул. Калинина до пересечения с ул. Больничная,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- ул. Красноармейская от ул. Пушкина до ул. Шпака,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>- ул. Звеньевая от ул. Калинина до ул. Виноградная,</w:t>
      </w:r>
    </w:p>
    <w:p w:rsidR="00A72C40" w:rsidRPr="00183B6F" w:rsidRDefault="00A72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B6F">
        <w:rPr>
          <w:rFonts w:ascii="Times New Roman" w:hAnsi="Times New Roman" w:cs="Times New Roman"/>
          <w:sz w:val="24"/>
          <w:szCs w:val="24"/>
        </w:rPr>
        <w:t xml:space="preserve">- ул. Виноградная от ул. Звеньевая до ул. </w:t>
      </w:r>
      <w:proofErr w:type="spellStart"/>
      <w:r w:rsidRPr="00183B6F">
        <w:rPr>
          <w:rFonts w:ascii="Times New Roman" w:hAnsi="Times New Roman" w:cs="Times New Roman"/>
          <w:sz w:val="24"/>
          <w:szCs w:val="24"/>
        </w:rPr>
        <w:t>Войтика</w:t>
      </w:r>
      <w:proofErr w:type="spellEnd"/>
      <w:r w:rsidRPr="00183B6F">
        <w:rPr>
          <w:rFonts w:ascii="Times New Roman" w:hAnsi="Times New Roman" w:cs="Times New Roman"/>
          <w:sz w:val="24"/>
          <w:szCs w:val="24"/>
        </w:rPr>
        <w:t>.</w:t>
      </w: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2C40" w:rsidRPr="00183B6F" w:rsidRDefault="00A72C4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65E5B" w:rsidRPr="00183B6F" w:rsidRDefault="00565E5B">
      <w:pPr>
        <w:rPr>
          <w:rFonts w:ascii="Times New Roman" w:hAnsi="Times New Roman" w:cs="Times New Roman"/>
          <w:sz w:val="24"/>
          <w:szCs w:val="24"/>
        </w:rPr>
      </w:pPr>
    </w:p>
    <w:sectPr w:rsidR="00565E5B" w:rsidRPr="00183B6F" w:rsidSect="00D704E5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09" w:rsidRDefault="00A60A09" w:rsidP="00D704E5">
      <w:pPr>
        <w:spacing w:after="0" w:line="240" w:lineRule="auto"/>
      </w:pPr>
      <w:r>
        <w:separator/>
      </w:r>
    </w:p>
  </w:endnote>
  <w:endnote w:type="continuationSeparator" w:id="0">
    <w:p w:rsidR="00A60A09" w:rsidRDefault="00A60A09" w:rsidP="00D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09" w:rsidRDefault="00A60A09" w:rsidP="00D704E5">
      <w:pPr>
        <w:spacing w:after="0" w:line="240" w:lineRule="auto"/>
      </w:pPr>
      <w:r>
        <w:separator/>
      </w:r>
    </w:p>
  </w:footnote>
  <w:footnote w:type="continuationSeparator" w:id="0">
    <w:p w:rsidR="00A60A09" w:rsidRDefault="00A60A09" w:rsidP="00D7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23714"/>
      <w:docPartObj>
        <w:docPartGallery w:val="Page Numbers (Top of Page)"/>
        <w:docPartUnique/>
      </w:docPartObj>
    </w:sdtPr>
    <w:sdtEndPr/>
    <w:sdtContent>
      <w:p w:rsidR="00D704E5" w:rsidRDefault="00D704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6F">
          <w:rPr>
            <w:noProof/>
          </w:rPr>
          <w:t>9</w:t>
        </w:r>
        <w:r>
          <w:fldChar w:fldCharType="end"/>
        </w:r>
      </w:p>
    </w:sdtContent>
  </w:sdt>
  <w:p w:rsidR="00D704E5" w:rsidRDefault="00D704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40"/>
    <w:rsid w:val="00143CFC"/>
    <w:rsid w:val="00183B6F"/>
    <w:rsid w:val="00565E5B"/>
    <w:rsid w:val="00A60A09"/>
    <w:rsid w:val="00A72C40"/>
    <w:rsid w:val="00D704E5"/>
    <w:rsid w:val="00E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4E5"/>
  </w:style>
  <w:style w:type="paragraph" w:styleId="a5">
    <w:name w:val="footer"/>
    <w:basedOn w:val="a"/>
    <w:link w:val="a6"/>
    <w:uiPriority w:val="99"/>
    <w:unhideWhenUsed/>
    <w:rsid w:val="00D7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2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2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4E5"/>
  </w:style>
  <w:style w:type="paragraph" w:styleId="a5">
    <w:name w:val="footer"/>
    <w:basedOn w:val="a"/>
    <w:link w:val="a6"/>
    <w:uiPriority w:val="99"/>
    <w:unhideWhenUsed/>
    <w:rsid w:val="00D70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5D1BE540CDD27A57DEBF592885F93A6190ED2CD186A058E3AE04DE487260C148DF202C59C4CCD23E7572b6a4N" TargetMode="External"/><Relationship Id="rId13" Type="http://schemas.openxmlformats.org/officeDocument/2006/relationships/hyperlink" Target="consultantplus://offline/ref=FA5D1BE540CDD27A57DEBF592885F93A6190ED2CD480A15DE4AE04DE487260C148DF202C59C4CCD23E7572b6a4N" TargetMode="External"/><Relationship Id="rId18" Type="http://schemas.openxmlformats.org/officeDocument/2006/relationships/hyperlink" Target="consultantplus://offline/ref=FA5D1BE540CDD27A57DEA1543EE9A7306793B024D08CA20DBDF15F831F7B6A960F90796E1DC9CCD6b3aCN" TargetMode="External"/><Relationship Id="rId26" Type="http://schemas.openxmlformats.org/officeDocument/2006/relationships/hyperlink" Target="consultantplus://offline/ref=FA5D1BE540CDD27A57DEBF592885F93A6190ED2CD58CA852E2AE04DE487260C148DF202C59C4CCD23E7572b6a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5D1BE540CDD27A57DEA1543EE9A730679EBB26D780A20DBDF15F831Fb7aBN" TargetMode="External"/><Relationship Id="rId7" Type="http://schemas.openxmlformats.org/officeDocument/2006/relationships/hyperlink" Target="consultantplus://offline/ref=FA5D1BE540CDD27A57DEBF592885F93A6190ED2CD185AE53E4AE04DE487260C148DF202C59C4CCD23E7572b6a4N" TargetMode="External"/><Relationship Id="rId12" Type="http://schemas.openxmlformats.org/officeDocument/2006/relationships/hyperlink" Target="consultantplus://offline/ref=FA5D1BE540CDD27A57DEBF592885F93A6190ED2CD782AF5AE0AE04DE487260C148DF202C59C4CCD23E7572b6a4N" TargetMode="External"/><Relationship Id="rId17" Type="http://schemas.openxmlformats.org/officeDocument/2006/relationships/hyperlink" Target="consultantplus://offline/ref=FA5D1BE540CDD27A57DEBF592885F93A6190ED2CD487A95EE2AE04DE487260C148DF202C59C4CCD23E7570b6a8N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5D1BE540CDD27A57DEA1543EE9A7306792B721DA87A20DBDF15F831F7B6A960F90796E1DCACAD0b3aBN" TargetMode="External"/><Relationship Id="rId20" Type="http://schemas.openxmlformats.org/officeDocument/2006/relationships/hyperlink" Target="consultantplus://offline/ref=FA5D1BE540CDD27A57DEBF592885F93A6190ED2CD782AF5AE0AE04DE487260C148DF202C59C4CCD23E7572b6a7N" TargetMode="External"/><Relationship Id="rId29" Type="http://schemas.openxmlformats.org/officeDocument/2006/relationships/hyperlink" Target="consultantplus://offline/ref=FA5D1BE540CDD27A57DEBF592885F93A6190ED2CD686A85AE0AE04DE487260C148DF202C59C4CCD23E7572b6a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5D1BE540CDD27A57DEBF592885F93A6190ED2CD786A05AE0AE04DE487260C148DF202C59C4CCD23E7572b6a4N" TargetMode="External"/><Relationship Id="rId24" Type="http://schemas.openxmlformats.org/officeDocument/2006/relationships/hyperlink" Target="consultantplus://offline/ref=FA5D1BE540CDD27A57DEBF592885F93A6190ED2CD782AF5AE0AE04DE487260C148DF202C59C4CCD23E7572b6a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5D1BE540CDD27A57DEBF592885F93A6190ED2CDB87AB5CE8AE04DE487260C148DF202C59C4CCD23E7572b6a4N" TargetMode="External"/><Relationship Id="rId23" Type="http://schemas.openxmlformats.org/officeDocument/2006/relationships/hyperlink" Target="consultantplus://offline/ref=FA5D1BE540CDD27A57DEBF592885F93A6190ED2CD782AF5AE0AE04DE487260C148DF202C59C4CCD23E7572b6a9N" TargetMode="External"/><Relationship Id="rId28" Type="http://schemas.openxmlformats.org/officeDocument/2006/relationships/hyperlink" Target="consultantplus://offline/ref=FA5D1BE540CDD27A57DEBF592885F93A6190ED2CD686A85AE0AE04DE487260C148DF202C59C4CCD23E7572b6a7N" TargetMode="External"/><Relationship Id="rId10" Type="http://schemas.openxmlformats.org/officeDocument/2006/relationships/hyperlink" Target="consultantplus://offline/ref=FA5D1BE540CDD27A57DEBF592885F93A6190ED2CD686A85AE0AE04DE487260C148DF202C59C4CCD23E7572b6a4N" TargetMode="External"/><Relationship Id="rId19" Type="http://schemas.openxmlformats.org/officeDocument/2006/relationships/hyperlink" Target="consultantplus://offline/ref=FA5D1BE540CDD27A57DEBF592885F93A6190ED2CD686A85AE0AE04DE487260C148DF202C59C4CCD23E7572b6a7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5D1BE540CDD27A57DEBF592885F93A6190ED2CD684A05BE8AE04DE487260C148DF202C59C4CCD23E7572b6a4N" TargetMode="External"/><Relationship Id="rId14" Type="http://schemas.openxmlformats.org/officeDocument/2006/relationships/hyperlink" Target="consultantplus://offline/ref=FA5D1BE540CDD27A57DEBF592885F93A6190ED2CD58CA852E2AE04DE487260C148DF202C59C4CCD23E7572b6a4N" TargetMode="External"/><Relationship Id="rId22" Type="http://schemas.openxmlformats.org/officeDocument/2006/relationships/hyperlink" Target="consultantplus://offline/ref=FA5D1BE540CDD27A57DEBF592885F93A6190ED2CD782AF5AE0AE04DE487260C148DF202C59C4CCD23E7572b6a7N" TargetMode="External"/><Relationship Id="rId27" Type="http://schemas.openxmlformats.org/officeDocument/2006/relationships/hyperlink" Target="consultantplus://offline/ref=FA5D1BE540CDD27A57DEBF592885F93A6190ED2CDB87AB5CE8AE04DE487260C148DF202C59C4CCD23E7572b6a4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4</cp:revision>
  <dcterms:created xsi:type="dcterms:W3CDTF">2016-02-19T13:26:00Z</dcterms:created>
  <dcterms:modified xsi:type="dcterms:W3CDTF">2016-03-09T07:10:00Z</dcterms:modified>
</cp:coreProperties>
</file>