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25" w:rsidRPr="00967BD9" w:rsidRDefault="00967BD9">
      <w:pPr>
        <w:pStyle w:val="ConsPlusTitle"/>
        <w:jc w:val="center"/>
      </w:pPr>
      <w:r w:rsidRPr="00967BD9">
        <w:t xml:space="preserve">Совет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</w:t>
      </w:r>
    </w:p>
    <w:p w:rsidR="00A20225" w:rsidRPr="00967BD9" w:rsidRDefault="00967BD9">
      <w:pPr>
        <w:pStyle w:val="ConsPlusTitle"/>
        <w:jc w:val="center"/>
      </w:pPr>
      <w:r w:rsidRPr="00967BD9">
        <w:t>Ставропольского края</w:t>
      </w:r>
    </w:p>
    <w:p w:rsidR="00A20225" w:rsidRPr="00967BD9" w:rsidRDefault="00A20225">
      <w:pPr>
        <w:pStyle w:val="ConsPlusTitle"/>
        <w:jc w:val="center"/>
      </w:pPr>
    </w:p>
    <w:p w:rsidR="00A20225" w:rsidRPr="00967BD9" w:rsidRDefault="00A20225">
      <w:pPr>
        <w:pStyle w:val="ConsPlusTitle"/>
        <w:jc w:val="center"/>
      </w:pPr>
      <w:r w:rsidRPr="00967BD9">
        <w:t>РЕШЕНИЕ</w:t>
      </w:r>
    </w:p>
    <w:p w:rsidR="00A20225" w:rsidRPr="00967BD9" w:rsidRDefault="00A20225">
      <w:pPr>
        <w:pStyle w:val="ConsPlusTitle"/>
        <w:jc w:val="center"/>
      </w:pPr>
      <w:r w:rsidRPr="00967BD9">
        <w:t>от 8 ноября 2017 г. N 41/297-III</w:t>
      </w:r>
    </w:p>
    <w:p w:rsidR="00A20225" w:rsidRPr="00967BD9" w:rsidRDefault="00A20225">
      <w:pPr>
        <w:pStyle w:val="ConsPlusTitle"/>
        <w:jc w:val="center"/>
      </w:pPr>
    </w:p>
    <w:p w:rsidR="00A20225" w:rsidRPr="00967BD9" w:rsidRDefault="00967BD9" w:rsidP="00967BD9">
      <w:pPr>
        <w:pStyle w:val="ConsPlusTitle"/>
        <w:ind w:left="708"/>
        <w:jc w:val="center"/>
      </w:pPr>
      <w:r w:rsidRPr="00967BD9">
        <w:t xml:space="preserve">О внесении изменений в решение совета </w:t>
      </w:r>
      <w:proofErr w:type="spellStart"/>
      <w:r w:rsidRPr="00967BD9">
        <w:t>Степновского</w:t>
      </w:r>
      <w:proofErr w:type="spellEnd"/>
    </w:p>
    <w:p w:rsidR="00A20225" w:rsidRPr="00967BD9" w:rsidRDefault="00967BD9" w:rsidP="00967BD9">
      <w:pPr>
        <w:pStyle w:val="ConsPlusTitle"/>
        <w:ind w:left="708"/>
        <w:jc w:val="center"/>
      </w:pPr>
      <w:r w:rsidRPr="00967BD9">
        <w:t>муниципального района Ставропольского края от 30 октября</w:t>
      </w:r>
    </w:p>
    <w:p w:rsidR="00A20225" w:rsidRPr="00967BD9" w:rsidRDefault="00967BD9" w:rsidP="00967BD9">
      <w:pPr>
        <w:pStyle w:val="ConsPlusTitle"/>
        <w:ind w:left="708"/>
        <w:jc w:val="center"/>
      </w:pPr>
      <w:r w:rsidRPr="00967BD9">
        <w:t>2015 года n 20/153-iii "о системе налогообложения в виде</w:t>
      </w:r>
    </w:p>
    <w:p w:rsidR="00A20225" w:rsidRPr="00967BD9" w:rsidRDefault="00967BD9" w:rsidP="00967BD9">
      <w:pPr>
        <w:pStyle w:val="ConsPlusTitle"/>
        <w:ind w:left="708"/>
        <w:jc w:val="center"/>
      </w:pPr>
      <w:r w:rsidRPr="00967BD9">
        <w:t>Единого налога на вмененный доход для отдельных видов</w:t>
      </w:r>
    </w:p>
    <w:p w:rsidR="00A20225" w:rsidRPr="00967BD9" w:rsidRDefault="00967BD9" w:rsidP="00967BD9">
      <w:pPr>
        <w:pStyle w:val="ConsPlusTitle"/>
        <w:ind w:left="708"/>
        <w:jc w:val="center"/>
      </w:pPr>
      <w:r w:rsidRPr="00967BD9">
        <w:t xml:space="preserve">Деятельности на территории </w:t>
      </w:r>
      <w:proofErr w:type="spellStart"/>
      <w:r w:rsidRPr="00967BD9">
        <w:t>Степновского</w:t>
      </w:r>
      <w:proofErr w:type="spellEnd"/>
      <w:r w:rsidRPr="00967BD9">
        <w:t xml:space="preserve"> </w:t>
      </w:r>
      <w:proofErr w:type="gramStart"/>
      <w:r w:rsidRPr="00967BD9">
        <w:t>муниципального</w:t>
      </w:r>
      <w:proofErr w:type="gramEnd"/>
    </w:p>
    <w:p w:rsidR="00A20225" w:rsidRPr="00967BD9" w:rsidRDefault="00967BD9" w:rsidP="00967BD9">
      <w:pPr>
        <w:pStyle w:val="ConsPlusTitle"/>
        <w:ind w:left="708"/>
        <w:jc w:val="center"/>
      </w:pPr>
      <w:r w:rsidRPr="00967BD9">
        <w:t>района Ставропольского края"</w:t>
      </w:r>
    </w:p>
    <w:p w:rsidR="00A20225" w:rsidRPr="00967BD9" w:rsidRDefault="00A20225">
      <w:pPr>
        <w:pStyle w:val="ConsPlusNormal"/>
        <w:jc w:val="both"/>
      </w:pPr>
    </w:p>
    <w:p w:rsidR="00A20225" w:rsidRPr="00967BD9" w:rsidRDefault="00A20225">
      <w:pPr>
        <w:pStyle w:val="ConsPlusNormal"/>
        <w:ind w:firstLine="540"/>
        <w:jc w:val="both"/>
      </w:pPr>
      <w:r w:rsidRPr="00967BD9">
        <w:t xml:space="preserve">В соответствии с главой 26.3 Налогового кодекса Российской Федерации, Уставом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 Совет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 решил:</w:t>
      </w:r>
    </w:p>
    <w:p w:rsidR="00A20225" w:rsidRPr="00967BD9" w:rsidRDefault="00A20225">
      <w:pPr>
        <w:pStyle w:val="ConsPlusNormal"/>
        <w:jc w:val="both"/>
      </w:pPr>
    </w:p>
    <w:p w:rsidR="00A20225" w:rsidRPr="00967BD9" w:rsidRDefault="00A20225">
      <w:pPr>
        <w:pStyle w:val="ConsPlusNormal"/>
        <w:ind w:firstLine="540"/>
        <w:jc w:val="both"/>
      </w:pPr>
      <w:r w:rsidRPr="00967BD9">
        <w:t xml:space="preserve">1. </w:t>
      </w:r>
      <w:proofErr w:type="gramStart"/>
      <w:r w:rsidRPr="00967BD9">
        <w:t xml:space="preserve">Внести в решение Совета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 от 30 октября 2015 года N 20/153-III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края" (с изменениями, внесенными решениями Совета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 от 28 октября 2016 года N 29/228-III, от 13 марта 2017</w:t>
      </w:r>
      <w:proofErr w:type="gramEnd"/>
      <w:r w:rsidRPr="00967BD9">
        <w:t xml:space="preserve"> г. N 34/262-III), следующие изменения:</w:t>
      </w:r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>1.1. Пункт 2 признать утратившим силу.</w:t>
      </w:r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>1.2. В пункте 5:</w:t>
      </w:r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>1.2.1. В абзаце первом слова "понижающие (повышающие)" исключить.</w:t>
      </w:r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>1.2.2. Подпункт 5.1 изложить в следующей редакции:</w:t>
      </w:r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>"5.1. Коэффиц</w:t>
      </w:r>
      <w:bookmarkStart w:id="0" w:name="_GoBack"/>
      <w:bookmarkEnd w:id="0"/>
      <w:r w:rsidRPr="00967BD9">
        <w:t>иент, учитывающий тип населенного пункта (</w:t>
      </w:r>
      <w:proofErr w:type="spellStart"/>
      <w:r w:rsidRPr="00967BD9">
        <w:t>Ктнп</w:t>
      </w:r>
      <w:proofErr w:type="spellEnd"/>
      <w:r w:rsidRPr="00967BD9">
        <w:t>):</w:t>
      </w:r>
    </w:p>
    <w:p w:rsidR="00A20225" w:rsidRPr="00967BD9" w:rsidRDefault="00A202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907"/>
        <w:gridCol w:w="964"/>
        <w:gridCol w:w="1020"/>
        <w:gridCol w:w="1070"/>
      </w:tblGrid>
      <w:tr w:rsidR="00967BD9" w:rsidRPr="00967BD9">
        <w:tc>
          <w:tcPr>
            <w:tcW w:w="624" w:type="dxa"/>
            <w:vMerge w:val="restart"/>
            <w:vAlign w:val="center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 xml:space="preserve">N </w:t>
            </w:r>
            <w:proofErr w:type="gramStart"/>
            <w:r w:rsidRPr="00967BD9">
              <w:t>п</w:t>
            </w:r>
            <w:proofErr w:type="gramEnd"/>
            <w:r w:rsidRPr="00967BD9">
              <w:t>/п</w:t>
            </w:r>
          </w:p>
        </w:tc>
        <w:tc>
          <w:tcPr>
            <w:tcW w:w="4479" w:type="dxa"/>
            <w:vMerge w:val="restart"/>
            <w:vAlign w:val="center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Вид предпринимательской деятельности</w:t>
            </w:r>
          </w:p>
        </w:tc>
        <w:tc>
          <w:tcPr>
            <w:tcW w:w="3961" w:type="dxa"/>
            <w:gridSpan w:val="4"/>
            <w:vAlign w:val="center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Тип населенного пункта</w:t>
            </w:r>
          </w:p>
        </w:tc>
      </w:tr>
      <w:tr w:rsidR="00967BD9" w:rsidRPr="00967BD9">
        <w:tc>
          <w:tcPr>
            <w:tcW w:w="624" w:type="dxa"/>
            <w:vMerge/>
          </w:tcPr>
          <w:p w:rsidR="00A20225" w:rsidRPr="00967BD9" w:rsidRDefault="00A20225"/>
        </w:tc>
        <w:tc>
          <w:tcPr>
            <w:tcW w:w="4479" w:type="dxa"/>
            <w:vMerge/>
          </w:tcPr>
          <w:p w:rsidR="00A20225" w:rsidRPr="00967BD9" w:rsidRDefault="00A20225"/>
        </w:tc>
        <w:tc>
          <w:tcPr>
            <w:tcW w:w="907" w:type="dxa"/>
            <w:vAlign w:val="center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районный центр</w:t>
            </w:r>
          </w:p>
        </w:tc>
        <w:tc>
          <w:tcPr>
            <w:tcW w:w="964" w:type="dxa"/>
            <w:vAlign w:val="center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центры сельских поселений</w:t>
            </w:r>
          </w:p>
        </w:tc>
        <w:tc>
          <w:tcPr>
            <w:tcW w:w="1020" w:type="dxa"/>
            <w:vAlign w:val="center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прочие населенные пункты</w:t>
            </w:r>
          </w:p>
        </w:tc>
        <w:tc>
          <w:tcPr>
            <w:tcW w:w="1070" w:type="dxa"/>
            <w:vAlign w:val="center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вне границ населенного пункта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2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3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4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5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6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бытовых услуг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0,201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0,124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0,1199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0,4796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2.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ветеринарных услуг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0,414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0,196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0,161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0,799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3.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0,216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0,216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0,216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0,459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4.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автотранспортных услуг по перевозке грузов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0,718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0,718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0,718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0,799</w:t>
            </w:r>
          </w:p>
        </w:tc>
      </w:tr>
      <w:tr w:rsidR="00967BD9" w:rsidRPr="00967BD9">
        <w:tc>
          <w:tcPr>
            <w:tcW w:w="624" w:type="dxa"/>
            <w:vMerge w:val="restart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lastRenderedPageBreak/>
              <w:t>5.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автотранспортных услуг по перевозке пассажиров: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</w:pP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</w:pP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</w:pP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</w:pPr>
          </w:p>
        </w:tc>
      </w:tr>
      <w:tr w:rsidR="00967BD9" w:rsidRPr="00967BD9">
        <w:tc>
          <w:tcPr>
            <w:tcW w:w="624" w:type="dxa"/>
            <w:vMerge/>
          </w:tcPr>
          <w:p w:rsidR="00A20225" w:rsidRPr="00967BD9" w:rsidRDefault="00A20225"/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- автобусами, имеющими свыше 14 мест для сидения;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0,505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0,505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0,505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0,598</w:t>
            </w:r>
          </w:p>
        </w:tc>
      </w:tr>
      <w:tr w:rsidR="00967BD9" w:rsidRPr="00967BD9">
        <w:tc>
          <w:tcPr>
            <w:tcW w:w="624" w:type="dxa"/>
            <w:vMerge/>
          </w:tcPr>
          <w:p w:rsidR="00A20225" w:rsidRPr="00967BD9" w:rsidRDefault="00A20225"/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- автобусами, имеющими до 15 мест для сидения;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0,560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0,560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0,560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0,665</w:t>
            </w:r>
          </w:p>
        </w:tc>
      </w:tr>
      <w:tr w:rsidR="00967BD9" w:rsidRPr="00967BD9">
        <w:tc>
          <w:tcPr>
            <w:tcW w:w="624" w:type="dxa"/>
            <w:vMerge/>
          </w:tcPr>
          <w:p w:rsidR="00A20225" w:rsidRPr="00967BD9" w:rsidRDefault="00A20225"/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- такси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0,588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0,588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0,588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0,665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6.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0,244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0,139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0,111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0,718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7.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0,282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0,162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0,122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0,735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8.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0,197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0,111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0,086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0,510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9.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Развозная и разносная розничная торговля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0,320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0,185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0,118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0,862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10.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0,223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0,137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0,122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0,594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11.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0,223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0,124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0,122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0,517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12.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по временному размещению и проживанию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0,209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0,153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0,077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0,365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13.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низ них не превышает 5 квадратных метров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0,024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0,015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0,0084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0,0286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lastRenderedPageBreak/>
              <w:t>14.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0,0186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0,0124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0,0056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0,024</w:t>
            </w:r>
          </w:p>
        </w:tc>
      </w:tr>
      <w:tr w:rsidR="00967BD9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15.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0,123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0,098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0,0139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0,133</w:t>
            </w:r>
          </w:p>
        </w:tc>
      </w:tr>
      <w:tr w:rsidR="00A20225" w:rsidRPr="00967BD9">
        <w:tc>
          <w:tcPr>
            <w:tcW w:w="62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16.</w:t>
            </w:r>
          </w:p>
        </w:tc>
        <w:tc>
          <w:tcPr>
            <w:tcW w:w="4479" w:type="dxa"/>
          </w:tcPr>
          <w:p w:rsidR="00A20225" w:rsidRPr="00967BD9" w:rsidRDefault="00A20225">
            <w:pPr>
              <w:pStyle w:val="ConsPlusNormal"/>
            </w:pPr>
            <w:r w:rsidRPr="00967BD9">
              <w:t>Оказание услуг по передаче во временное владение и (или) в пользование земельных участков,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907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0,0812</w:t>
            </w:r>
          </w:p>
        </w:tc>
        <w:tc>
          <w:tcPr>
            <w:tcW w:w="964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0,0628</w:t>
            </w:r>
          </w:p>
        </w:tc>
        <w:tc>
          <w:tcPr>
            <w:tcW w:w="102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0,0084</w:t>
            </w:r>
          </w:p>
        </w:tc>
        <w:tc>
          <w:tcPr>
            <w:tcW w:w="1070" w:type="dxa"/>
          </w:tcPr>
          <w:p w:rsidR="00A20225" w:rsidRPr="00967BD9" w:rsidRDefault="00A20225">
            <w:pPr>
              <w:pStyle w:val="ConsPlusNormal"/>
              <w:jc w:val="center"/>
            </w:pPr>
            <w:r w:rsidRPr="00967BD9">
              <w:t>0,0865".</w:t>
            </w:r>
          </w:p>
        </w:tc>
      </w:tr>
    </w:tbl>
    <w:p w:rsidR="00A20225" w:rsidRPr="00967BD9" w:rsidRDefault="00A20225">
      <w:pPr>
        <w:pStyle w:val="ConsPlusNormal"/>
        <w:jc w:val="both"/>
      </w:pPr>
    </w:p>
    <w:p w:rsidR="00A20225" w:rsidRPr="00967BD9" w:rsidRDefault="00A20225">
      <w:pPr>
        <w:pStyle w:val="ConsPlusNormal"/>
        <w:ind w:firstLine="540"/>
        <w:jc w:val="both"/>
      </w:pPr>
      <w:r w:rsidRPr="00967BD9">
        <w:t>1.2.3. Подпункты 5.2 - 5.4 признать утратившими силу.</w:t>
      </w:r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 xml:space="preserve">2. </w:t>
      </w:r>
      <w:proofErr w:type="gramStart"/>
      <w:r w:rsidRPr="00967BD9">
        <w:t xml:space="preserve">Признать утратившим силу решение Совета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 от 28 октября 2016 года N 29/228-III "О внесении изменения в решение Совета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 от 30 октября 2015 года N 20/153-III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края".</w:t>
      </w:r>
      <w:proofErr w:type="gramEnd"/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 xml:space="preserve">3. Настоящее решение подлежит опубликованию в общественно-политической газете </w:t>
      </w:r>
      <w:proofErr w:type="spellStart"/>
      <w:r w:rsidRPr="00967BD9">
        <w:t>Степновского</w:t>
      </w:r>
      <w:proofErr w:type="spellEnd"/>
      <w:r w:rsidRPr="00967BD9">
        <w:t xml:space="preserve"> муниципального района Ставропольского края "</w:t>
      </w:r>
      <w:proofErr w:type="spellStart"/>
      <w:r w:rsidRPr="00967BD9">
        <w:t>Степновские</w:t>
      </w:r>
      <w:proofErr w:type="spellEnd"/>
      <w:r w:rsidRPr="00967BD9">
        <w:t xml:space="preserve"> вести".</w:t>
      </w:r>
    </w:p>
    <w:p w:rsidR="00A20225" w:rsidRPr="00967BD9" w:rsidRDefault="00A20225">
      <w:pPr>
        <w:pStyle w:val="ConsPlusNormal"/>
        <w:spacing w:before="220"/>
        <w:ind w:firstLine="540"/>
        <w:jc w:val="both"/>
      </w:pPr>
      <w:r w:rsidRPr="00967BD9">
        <w:t>4. Настоящее решение вступает в силу с 1 января 2018 года, но не ранее чем по истечении одного месяца со дня официального опубликования.</w:t>
      </w:r>
    </w:p>
    <w:p w:rsidR="00A20225" w:rsidRPr="00967BD9" w:rsidRDefault="00A20225">
      <w:pPr>
        <w:pStyle w:val="ConsPlusNormal"/>
        <w:jc w:val="both"/>
      </w:pPr>
    </w:p>
    <w:p w:rsidR="00A20225" w:rsidRPr="00967BD9" w:rsidRDefault="00A20225">
      <w:pPr>
        <w:pStyle w:val="ConsPlusNormal"/>
        <w:jc w:val="right"/>
      </w:pPr>
      <w:r w:rsidRPr="00967BD9">
        <w:t xml:space="preserve">Председатель Совета </w:t>
      </w:r>
      <w:proofErr w:type="spellStart"/>
      <w:r w:rsidRPr="00967BD9">
        <w:t>Степновского</w:t>
      </w:r>
      <w:proofErr w:type="spellEnd"/>
      <w:r w:rsidR="00967BD9" w:rsidRPr="00967BD9">
        <w:t xml:space="preserve"> </w:t>
      </w:r>
      <w:r w:rsidRPr="00967BD9">
        <w:t>муниципального района</w:t>
      </w:r>
    </w:p>
    <w:p w:rsidR="00A20225" w:rsidRPr="00967BD9" w:rsidRDefault="00A20225">
      <w:pPr>
        <w:pStyle w:val="ConsPlusNormal"/>
        <w:jc w:val="right"/>
      </w:pPr>
      <w:r w:rsidRPr="00967BD9">
        <w:t>Ставропольского края</w:t>
      </w:r>
    </w:p>
    <w:p w:rsidR="00A20225" w:rsidRPr="00967BD9" w:rsidRDefault="00A20225">
      <w:pPr>
        <w:pStyle w:val="ConsPlusNormal"/>
        <w:jc w:val="right"/>
      </w:pPr>
      <w:proofErr w:type="spellStart"/>
      <w:r w:rsidRPr="00967BD9">
        <w:t>А.Н.Л</w:t>
      </w:r>
      <w:r w:rsidR="00967BD9" w:rsidRPr="00967BD9">
        <w:t>итвиненко</w:t>
      </w:r>
      <w:proofErr w:type="spellEnd"/>
    </w:p>
    <w:p w:rsidR="00A20225" w:rsidRPr="00967BD9" w:rsidRDefault="00A20225">
      <w:pPr>
        <w:pStyle w:val="ConsPlusNormal"/>
        <w:jc w:val="both"/>
      </w:pPr>
    </w:p>
    <w:p w:rsidR="00A20225" w:rsidRPr="00967BD9" w:rsidRDefault="00A20225">
      <w:pPr>
        <w:pStyle w:val="ConsPlusNormal"/>
        <w:jc w:val="right"/>
      </w:pPr>
      <w:r w:rsidRPr="00967BD9">
        <w:t xml:space="preserve">Глава </w:t>
      </w:r>
      <w:proofErr w:type="spellStart"/>
      <w:r w:rsidRPr="00967BD9">
        <w:t>Степновского</w:t>
      </w:r>
      <w:proofErr w:type="spellEnd"/>
      <w:r w:rsidRPr="00967BD9">
        <w:t xml:space="preserve"> </w:t>
      </w:r>
      <w:proofErr w:type="gramStart"/>
      <w:r w:rsidRPr="00967BD9">
        <w:t>муниципального</w:t>
      </w:r>
      <w:proofErr w:type="gramEnd"/>
    </w:p>
    <w:p w:rsidR="00A20225" w:rsidRPr="00967BD9" w:rsidRDefault="00A20225">
      <w:pPr>
        <w:pStyle w:val="ConsPlusNormal"/>
        <w:jc w:val="right"/>
      </w:pPr>
      <w:r w:rsidRPr="00967BD9">
        <w:t>района Ставропольского края</w:t>
      </w:r>
    </w:p>
    <w:p w:rsidR="00A20225" w:rsidRPr="00967BD9" w:rsidRDefault="00A20225">
      <w:pPr>
        <w:pStyle w:val="ConsPlusNormal"/>
        <w:jc w:val="right"/>
      </w:pPr>
      <w:proofErr w:type="spellStart"/>
      <w:r w:rsidRPr="00967BD9">
        <w:t>С.В.Л</w:t>
      </w:r>
      <w:r w:rsidR="00967BD9" w:rsidRPr="00967BD9">
        <w:t>обанов</w:t>
      </w:r>
      <w:proofErr w:type="spellEnd"/>
    </w:p>
    <w:p w:rsidR="00A20225" w:rsidRPr="00967BD9" w:rsidRDefault="00A20225">
      <w:pPr>
        <w:pStyle w:val="ConsPlusNormal"/>
        <w:jc w:val="both"/>
      </w:pPr>
    </w:p>
    <w:p w:rsidR="00A20225" w:rsidRPr="00967BD9" w:rsidRDefault="00A20225">
      <w:pPr>
        <w:pStyle w:val="ConsPlusNormal"/>
        <w:jc w:val="both"/>
      </w:pPr>
    </w:p>
    <w:p w:rsidR="00601878" w:rsidRPr="00967BD9" w:rsidRDefault="00601878"/>
    <w:sectPr w:rsidR="00601878" w:rsidRPr="00967BD9" w:rsidSect="003E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25"/>
    <w:rsid w:val="00601878"/>
    <w:rsid w:val="00967BD9"/>
    <w:rsid w:val="00A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02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02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2018-02-07T08:40:00Z</dcterms:created>
  <dcterms:modified xsi:type="dcterms:W3CDTF">2018-02-07T08:40:00Z</dcterms:modified>
</cp:coreProperties>
</file>