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2" w:rsidRPr="0014298D" w:rsidRDefault="005D4D02">
      <w:pPr>
        <w:pStyle w:val="ConsPlusNormal"/>
        <w:jc w:val="right"/>
        <w:outlineLvl w:val="0"/>
      </w:pPr>
      <w:bookmarkStart w:id="0" w:name="_GoBack"/>
      <w:bookmarkEnd w:id="0"/>
      <w:r w:rsidRPr="0014298D">
        <w:t>Приложение 2</w:t>
      </w:r>
    </w:p>
    <w:p w:rsidR="005D4D02" w:rsidRPr="0014298D" w:rsidRDefault="005D4D02">
      <w:pPr>
        <w:pStyle w:val="ConsPlusNormal"/>
        <w:jc w:val="right"/>
      </w:pPr>
      <w:r w:rsidRPr="0014298D">
        <w:t>к решению</w:t>
      </w:r>
    </w:p>
    <w:p w:rsidR="005D4D02" w:rsidRPr="0014298D" w:rsidRDefault="005D4D02">
      <w:pPr>
        <w:pStyle w:val="ConsPlusNormal"/>
        <w:jc w:val="right"/>
      </w:pPr>
      <w:r w:rsidRPr="0014298D">
        <w:t>Совета Александровского</w:t>
      </w:r>
    </w:p>
    <w:p w:rsidR="005D4D02" w:rsidRPr="0014298D" w:rsidRDefault="005D4D02">
      <w:pPr>
        <w:pStyle w:val="ConsPlusNormal"/>
        <w:jc w:val="right"/>
      </w:pPr>
      <w:r w:rsidRPr="0014298D">
        <w:t>муниципального района</w:t>
      </w:r>
    </w:p>
    <w:p w:rsidR="005D4D02" w:rsidRPr="0014298D" w:rsidRDefault="005D4D02">
      <w:pPr>
        <w:pStyle w:val="ConsPlusNormal"/>
        <w:jc w:val="right"/>
      </w:pPr>
      <w:r w:rsidRPr="0014298D">
        <w:t>Ставропольского края</w:t>
      </w:r>
    </w:p>
    <w:p w:rsidR="005D4D02" w:rsidRPr="0014298D" w:rsidRDefault="005D4D02">
      <w:pPr>
        <w:pStyle w:val="ConsPlusNormal"/>
        <w:jc w:val="right"/>
      </w:pPr>
      <w:r w:rsidRPr="0014298D">
        <w:t>от 28 ноября 2008 г. N 728/97</w:t>
      </w:r>
    </w:p>
    <w:p w:rsidR="005D4D02" w:rsidRPr="0014298D" w:rsidRDefault="005D4D02">
      <w:pPr>
        <w:pStyle w:val="ConsPlusNormal"/>
        <w:jc w:val="right"/>
      </w:pPr>
      <w:proofErr w:type="gramStart"/>
      <w:r w:rsidRPr="0014298D">
        <w:t>(в редакции решения</w:t>
      </w:r>
      <w:proofErr w:type="gramEnd"/>
    </w:p>
    <w:p w:rsidR="005D4D02" w:rsidRPr="0014298D" w:rsidRDefault="005D4D02">
      <w:pPr>
        <w:pStyle w:val="ConsPlusNormal"/>
        <w:jc w:val="right"/>
      </w:pPr>
      <w:r w:rsidRPr="0014298D">
        <w:t>Совета Александровского</w:t>
      </w:r>
    </w:p>
    <w:p w:rsidR="005D4D02" w:rsidRPr="0014298D" w:rsidRDefault="005D4D02">
      <w:pPr>
        <w:pStyle w:val="ConsPlusNormal"/>
        <w:jc w:val="right"/>
      </w:pPr>
      <w:r w:rsidRPr="0014298D">
        <w:t>муниципального района</w:t>
      </w:r>
    </w:p>
    <w:p w:rsidR="005D4D02" w:rsidRPr="0014298D" w:rsidRDefault="005D4D02">
      <w:pPr>
        <w:pStyle w:val="ConsPlusNormal"/>
        <w:jc w:val="right"/>
      </w:pPr>
      <w:r w:rsidRPr="0014298D">
        <w:t>Ставропольского края</w:t>
      </w:r>
    </w:p>
    <w:p w:rsidR="005D4D02" w:rsidRPr="0014298D" w:rsidRDefault="005D4D02">
      <w:pPr>
        <w:pStyle w:val="ConsPlusNormal"/>
        <w:jc w:val="right"/>
      </w:pPr>
      <w:r w:rsidRPr="0014298D">
        <w:t>от 20 октября 2017 г. N 728/97)</w:t>
      </w:r>
    </w:p>
    <w:p w:rsidR="005D4D02" w:rsidRPr="0014298D" w:rsidRDefault="005D4D02">
      <w:pPr>
        <w:pStyle w:val="ConsPlusNormal"/>
        <w:jc w:val="both"/>
      </w:pPr>
    </w:p>
    <w:p w:rsidR="005D4D02" w:rsidRPr="0014298D" w:rsidRDefault="005D4D02">
      <w:pPr>
        <w:pStyle w:val="ConsPlusNormal"/>
        <w:jc w:val="center"/>
      </w:pPr>
      <w:bookmarkStart w:id="1" w:name="P48"/>
      <w:bookmarkEnd w:id="1"/>
      <w:r w:rsidRPr="0014298D">
        <w:t>ЗНАЧЕНИЕ</w:t>
      </w:r>
    </w:p>
    <w:p w:rsidR="005D4D02" w:rsidRPr="0014298D" w:rsidRDefault="005D4D02">
      <w:pPr>
        <w:pStyle w:val="ConsPlusNormal"/>
        <w:jc w:val="center"/>
      </w:pPr>
      <w:r w:rsidRPr="0014298D">
        <w:t>КОРРЕКТИРУЮЩЕГО КОЭФФИЦИЕНТА БАЗОВОЙ ДОХОДНОСТИ К</w:t>
      </w:r>
      <w:proofErr w:type="gramStart"/>
      <w:r w:rsidRPr="0014298D">
        <w:t>2</w:t>
      </w:r>
      <w:proofErr w:type="gramEnd"/>
      <w:r w:rsidRPr="0014298D">
        <w:t>,</w:t>
      </w:r>
    </w:p>
    <w:p w:rsidR="005D4D02" w:rsidRPr="0014298D" w:rsidRDefault="005D4D02">
      <w:pPr>
        <w:pStyle w:val="ConsPlusNormal"/>
        <w:jc w:val="center"/>
      </w:pPr>
      <w:r w:rsidRPr="0014298D">
        <w:t>УЧИТЫВАЮЩЕГО СОВОКУПНОСТЬ ОСОБЕННОСТЕЙ ВЕДЕНИЯ</w:t>
      </w:r>
    </w:p>
    <w:p w:rsidR="005D4D02" w:rsidRPr="0014298D" w:rsidRDefault="005D4D02">
      <w:pPr>
        <w:pStyle w:val="ConsPlusNormal"/>
        <w:jc w:val="center"/>
      </w:pPr>
      <w:r w:rsidRPr="0014298D">
        <w:t>ПРЕДПРИНИМАТЕЛЬСКОЙ ДЕЯТЕЛЬНОСТИ, НА 2018 ГОД</w:t>
      </w:r>
    </w:p>
    <w:p w:rsidR="005D4D02" w:rsidRPr="0014298D" w:rsidRDefault="005D4D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3515"/>
        <w:gridCol w:w="1020"/>
        <w:gridCol w:w="907"/>
        <w:gridCol w:w="1191"/>
        <w:gridCol w:w="964"/>
        <w:gridCol w:w="907"/>
      </w:tblGrid>
      <w:tr w:rsidR="0014298D" w:rsidRPr="0014298D">
        <w:tc>
          <w:tcPr>
            <w:tcW w:w="528" w:type="dxa"/>
            <w:vMerge w:val="restart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 xml:space="preserve">N </w:t>
            </w:r>
            <w:proofErr w:type="gramStart"/>
            <w:r w:rsidRPr="0014298D">
              <w:t>п</w:t>
            </w:r>
            <w:proofErr w:type="gramEnd"/>
            <w:r w:rsidRPr="0014298D">
              <w:t>/п</w:t>
            </w:r>
          </w:p>
        </w:tc>
        <w:tc>
          <w:tcPr>
            <w:tcW w:w="3515" w:type="dxa"/>
            <w:vMerge w:val="restart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Виды предпринимательской деятельности</w:t>
            </w:r>
          </w:p>
        </w:tc>
        <w:tc>
          <w:tcPr>
            <w:tcW w:w="1927" w:type="dxa"/>
            <w:gridSpan w:val="2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Более 10 тыс. человек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От 3 тыс. до 10 тыс. человек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Менее 3 тыс. человек</w:t>
            </w:r>
          </w:p>
        </w:tc>
        <w:tc>
          <w:tcPr>
            <w:tcW w:w="907" w:type="dxa"/>
            <w:vMerge w:val="restart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Вне границ населенных пунктов</w:t>
            </w:r>
          </w:p>
        </w:tc>
      </w:tr>
      <w:tr w:rsidR="0014298D" w:rsidRPr="0014298D">
        <w:tc>
          <w:tcPr>
            <w:tcW w:w="528" w:type="dxa"/>
            <w:vMerge/>
          </w:tcPr>
          <w:p w:rsidR="005D4D02" w:rsidRPr="0014298D" w:rsidRDefault="005D4D02"/>
        </w:tc>
        <w:tc>
          <w:tcPr>
            <w:tcW w:w="3515" w:type="dxa"/>
            <w:vMerge/>
          </w:tcPr>
          <w:p w:rsidR="005D4D02" w:rsidRPr="0014298D" w:rsidRDefault="005D4D02"/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с. Александровское (центр)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с. Александровское (прочие)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proofErr w:type="gramStart"/>
            <w:r w:rsidRPr="0014298D">
              <w:t xml:space="preserve">с. </w:t>
            </w:r>
            <w:proofErr w:type="spellStart"/>
            <w:r w:rsidRPr="0014298D">
              <w:t>Грушевское</w:t>
            </w:r>
            <w:proofErr w:type="spellEnd"/>
            <w:r w:rsidRPr="0014298D">
              <w:t xml:space="preserve">, с. </w:t>
            </w:r>
            <w:proofErr w:type="spellStart"/>
            <w:r w:rsidRPr="0014298D">
              <w:t>Калиновское</w:t>
            </w:r>
            <w:proofErr w:type="spellEnd"/>
            <w:r w:rsidRPr="0014298D">
              <w:t xml:space="preserve">, с. Северное, с. Саблинское, с. </w:t>
            </w:r>
            <w:proofErr w:type="spellStart"/>
            <w:r w:rsidRPr="0014298D">
              <w:t>Круглолесское</w:t>
            </w:r>
            <w:proofErr w:type="spellEnd"/>
            <w:proofErr w:type="gramEnd"/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Прочие населенные пункты</w:t>
            </w:r>
          </w:p>
        </w:tc>
        <w:tc>
          <w:tcPr>
            <w:tcW w:w="907" w:type="dxa"/>
            <w:vMerge/>
          </w:tcPr>
          <w:p w:rsidR="005D4D02" w:rsidRPr="0014298D" w:rsidRDefault="005D4D02"/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1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2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3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4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5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6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7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1.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Оказание бытовых услуг &lt;*&gt;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0,248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0,248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0,186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0,171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0,248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2.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Оказание ветеринарных услуг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0,324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0,324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0,248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0,233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0,324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3.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0,403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0,403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0,363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0,363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0,403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4.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0,286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0,286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0,214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0,214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0,286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5.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 xml:space="preserve">Оказание организациями и </w:t>
            </w:r>
            <w:r w:rsidRPr="0014298D">
              <w:lastRenderedPageBreak/>
              <w:t>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автотранспортных услуг по перевозке грузов: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</w:pP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- до 1,5 тонны включительно;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0,725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0,725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0,725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0,725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0,725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- свыше 1,5 до 5 тонн включительно;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0,906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0,906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0,906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0,906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0,906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- свыше 5 тонн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1,000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1,000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1,000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1,000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1,000</w:t>
            </w:r>
          </w:p>
        </w:tc>
      </w:tr>
      <w:tr w:rsidR="0014298D" w:rsidRPr="0014298D">
        <w:tc>
          <w:tcPr>
            <w:tcW w:w="528" w:type="dxa"/>
            <w:vMerge w:val="restart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6.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Оказание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автотранспортных услуг по перевозке пассажиров: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</w:pPr>
          </w:p>
        </w:tc>
      </w:tr>
      <w:tr w:rsidR="0014298D" w:rsidRPr="0014298D">
        <w:tc>
          <w:tcPr>
            <w:tcW w:w="528" w:type="dxa"/>
            <w:vMerge/>
          </w:tcPr>
          <w:p w:rsidR="005D4D02" w:rsidRPr="0014298D" w:rsidRDefault="005D4D02"/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- до 4 посадочных ме</w:t>
            </w:r>
            <w:proofErr w:type="gramStart"/>
            <w:r w:rsidRPr="0014298D">
              <w:t>ст вкл</w:t>
            </w:r>
            <w:proofErr w:type="gramEnd"/>
            <w:r w:rsidRPr="0014298D">
              <w:t>ючительно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0,673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0,673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0,673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0,673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0,673</w:t>
            </w:r>
          </w:p>
        </w:tc>
      </w:tr>
      <w:tr w:rsidR="0014298D" w:rsidRPr="0014298D">
        <w:tc>
          <w:tcPr>
            <w:tcW w:w="528" w:type="dxa"/>
            <w:vMerge/>
          </w:tcPr>
          <w:p w:rsidR="005D4D02" w:rsidRPr="0014298D" w:rsidRDefault="005D4D02"/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- свыше 4 посадочных мест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0,202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0,202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0,202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0,202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0,202</w:t>
            </w:r>
          </w:p>
        </w:tc>
      </w:tr>
      <w:tr w:rsidR="0014298D" w:rsidRPr="0014298D">
        <w:tc>
          <w:tcPr>
            <w:tcW w:w="528" w:type="dxa"/>
            <w:vMerge w:val="restart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7.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в том числе: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</w:pP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</w:pPr>
          </w:p>
        </w:tc>
      </w:tr>
      <w:tr w:rsidR="0014298D" w:rsidRPr="0014298D">
        <w:tc>
          <w:tcPr>
            <w:tcW w:w="528" w:type="dxa"/>
            <w:vMerge/>
          </w:tcPr>
          <w:p w:rsidR="005D4D02" w:rsidRPr="0014298D" w:rsidRDefault="005D4D02"/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- преимущественно продовольственные товары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0,371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0,286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0,223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0,193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0,371</w:t>
            </w:r>
          </w:p>
        </w:tc>
      </w:tr>
      <w:tr w:rsidR="0014298D" w:rsidRPr="0014298D">
        <w:tc>
          <w:tcPr>
            <w:tcW w:w="528" w:type="dxa"/>
            <w:vMerge/>
          </w:tcPr>
          <w:p w:rsidR="005D4D02" w:rsidRPr="0014298D" w:rsidRDefault="005D4D02"/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- непродовольственные товары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0,418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0,343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0,268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0,252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0,418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8.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0,455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0,455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0,455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0,455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0,455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9.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Развозная и разносная розничная торговля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0,753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0,753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0,426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0,171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0,753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lastRenderedPageBreak/>
              <w:t>10.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Реализация товаров с использованием торговых автоматов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0,455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0,455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0,455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0,455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0,455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11.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0,257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0,257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0,158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0,158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0,257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12.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0,296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0,296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0,186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0,170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0,296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13.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Распространение наружной рекламы с использованием рекламных конструкций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0,683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0,683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0,683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0,683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0,683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14.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0,819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0,819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0,819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0,819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0,819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15.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0,286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0,286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0,228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0,142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0,286</w:t>
            </w:r>
          </w:p>
        </w:tc>
      </w:tr>
      <w:tr w:rsidR="0014298D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16.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0,007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0,007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0,007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0,007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0,007</w:t>
            </w:r>
          </w:p>
        </w:tc>
      </w:tr>
      <w:tr w:rsidR="005D4D02" w:rsidRPr="0014298D">
        <w:tc>
          <w:tcPr>
            <w:tcW w:w="528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17.</w:t>
            </w:r>
          </w:p>
        </w:tc>
        <w:tc>
          <w:tcPr>
            <w:tcW w:w="3515" w:type="dxa"/>
          </w:tcPr>
          <w:p w:rsidR="005D4D02" w:rsidRPr="0014298D" w:rsidRDefault="005D4D02">
            <w:pPr>
              <w:pStyle w:val="ConsPlusNormal"/>
            </w:pPr>
            <w:r w:rsidRPr="0014298D">
              <w:t xml:space="preserve">Оказание услуг по передаче во </w:t>
            </w:r>
            <w:r w:rsidRPr="0014298D">
              <w:lastRenderedPageBreak/>
              <w:t>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020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lastRenderedPageBreak/>
              <w:t>0,286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0,286</w:t>
            </w:r>
          </w:p>
        </w:tc>
        <w:tc>
          <w:tcPr>
            <w:tcW w:w="1191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0,214</w:t>
            </w:r>
          </w:p>
        </w:tc>
        <w:tc>
          <w:tcPr>
            <w:tcW w:w="964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0,186</w:t>
            </w:r>
          </w:p>
        </w:tc>
        <w:tc>
          <w:tcPr>
            <w:tcW w:w="907" w:type="dxa"/>
          </w:tcPr>
          <w:p w:rsidR="005D4D02" w:rsidRPr="0014298D" w:rsidRDefault="005D4D02">
            <w:pPr>
              <w:pStyle w:val="ConsPlusNormal"/>
              <w:jc w:val="center"/>
            </w:pPr>
            <w:r w:rsidRPr="0014298D">
              <w:t>0,286</w:t>
            </w:r>
          </w:p>
        </w:tc>
      </w:tr>
    </w:tbl>
    <w:p w:rsidR="005D4D02" w:rsidRPr="0014298D" w:rsidRDefault="005D4D02">
      <w:pPr>
        <w:pStyle w:val="ConsPlusNormal"/>
        <w:jc w:val="both"/>
      </w:pPr>
    </w:p>
    <w:p w:rsidR="005D4D02" w:rsidRPr="0014298D" w:rsidRDefault="005D4D02">
      <w:pPr>
        <w:pStyle w:val="ConsPlusNormal"/>
        <w:ind w:firstLine="540"/>
        <w:jc w:val="both"/>
      </w:pPr>
      <w:r w:rsidRPr="0014298D">
        <w:t>--------------------------------</w:t>
      </w:r>
    </w:p>
    <w:p w:rsidR="005D4D02" w:rsidRPr="0014298D" w:rsidRDefault="005D4D02">
      <w:pPr>
        <w:pStyle w:val="ConsPlusNormal"/>
        <w:spacing w:before="220"/>
        <w:ind w:firstLine="540"/>
        <w:jc w:val="both"/>
      </w:pPr>
      <w:bookmarkStart w:id="2" w:name="P236"/>
      <w:bookmarkEnd w:id="2"/>
      <w:r w:rsidRPr="0014298D">
        <w:t>&lt;*&gt;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5D4D02" w:rsidRPr="0014298D" w:rsidRDefault="005D4D02">
      <w:pPr>
        <w:pStyle w:val="ConsPlusNormal"/>
        <w:jc w:val="both"/>
      </w:pPr>
    </w:p>
    <w:p w:rsidR="00DE4CCB" w:rsidRPr="0014298D" w:rsidRDefault="00DE4CCB"/>
    <w:sectPr w:rsidR="00DE4CCB" w:rsidRPr="0014298D" w:rsidSect="0083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02"/>
    <w:rsid w:val="0014298D"/>
    <w:rsid w:val="005D4D02"/>
    <w:rsid w:val="00D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4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4D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4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4D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2018-02-05T11:39:00Z</dcterms:created>
  <dcterms:modified xsi:type="dcterms:W3CDTF">2018-02-05T11:39:00Z</dcterms:modified>
</cp:coreProperties>
</file>