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0864" w:rsidRPr="00F96978" w:rsidTr="00F96978">
        <w:tc>
          <w:tcPr>
            <w:tcW w:w="4677" w:type="dxa"/>
            <w:tcBorders>
              <w:top w:val="nil"/>
              <w:left w:val="nil"/>
              <w:bottom w:val="nil"/>
              <w:right w:val="nil"/>
            </w:tcBorders>
          </w:tcPr>
          <w:p w:rsidR="00A10864" w:rsidRPr="00F96978" w:rsidRDefault="00A10864" w:rsidP="00F96978">
            <w:pPr>
              <w:pStyle w:val="ConsPlusNormal"/>
              <w:rPr>
                <w:rFonts w:asciiTheme="minorHAnsi" w:hAnsiTheme="minorHAnsi"/>
                <w:sz w:val="28"/>
                <w:szCs w:val="28"/>
              </w:rPr>
            </w:pPr>
            <w:r w:rsidRPr="00F96978">
              <w:rPr>
                <w:rFonts w:asciiTheme="minorHAnsi" w:hAnsiTheme="minorHAnsi"/>
                <w:sz w:val="28"/>
                <w:szCs w:val="28"/>
              </w:rPr>
              <w:t>27 сентября 2017 года</w:t>
            </w:r>
          </w:p>
        </w:tc>
        <w:tc>
          <w:tcPr>
            <w:tcW w:w="4678" w:type="dxa"/>
            <w:tcBorders>
              <w:top w:val="nil"/>
              <w:left w:val="nil"/>
              <w:bottom w:val="nil"/>
              <w:right w:val="nil"/>
            </w:tcBorders>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N 278</w:t>
            </w:r>
          </w:p>
        </w:tc>
      </w:tr>
    </w:tbl>
    <w:p w:rsidR="00A10864" w:rsidRPr="00F96978" w:rsidRDefault="00A10864" w:rsidP="00F96978">
      <w:pPr>
        <w:pStyle w:val="ConsPlusNormal"/>
        <w:pBdr>
          <w:top w:val="single" w:sz="6" w:space="0" w:color="auto"/>
        </w:pBdr>
        <w:jc w:val="both"/>
        <w:rPr>
          <w:rFonts w:asciiTheme="minorHAnsi" w:hAnsiTheme="minorHAnsi"/>
          <w:sz w:val="28"/>
          <w:szCs w:val="28"/>
        </w:rPr>
      </w:pPr>
    </w:p>
    <w:p w:rsidR="00A10864" w:rsidRPr="00F96978" w:rsidRDefault="00A10864" w:rsidP="00F96978">
      <w:pPr>
        <w:pStyle w:val="ConsPlusNormal"/>
        <w:jc w:val="both"/>
        <w:rPr>
          <w:rFonts w:asciiTheme="minorHAnsi" w:hAnsiTheme="minorHAnsi"/>
          <w:sz w:val="28"/>
          <w:szCs w:val="28"/>
        </w:rPr>
      </w:pP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ЗАКОНОДАТЕЛЬНАЯ ДУМА ХАБАРОВСКОГО КРАЯ</w:t>
      </w:r>
    </w:p>
    <w:p w:rsidR="00F96978" w:rsidRPr="00F96978" w:rsidRDefault="00F96978" w:rsidP="00F96978">
      <w:pPr>
        <w:pStyle w:val="ConsPlusNormal"/>
        <w:ind w:firstLine="540"/>
        <w:jc w:val="center"/>
        <w:rPr>
          <w:rFonts w:asciiTheme="minorHAnsi" w:hAnsiTheme="minorHAnsi"/>
          <w:sz w:val="28"/>
          <w:szCs w:val="28"/>
        </w:rPr>
      </w:pP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ЗАКОН</w:t>
      </w: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ХАБАРОВСКОГО КРАЯ</w:t>
      </w:r>
    </w:p>
    <w:p w:rsidR="00F96978" w:rsidRPr="00F96978" w:rsidRDefault="00F96978" w:rsidP="00F96978">
      <w:pPr>
        <w:pStyle w:val="ConsPlusNormal"/>
        <w:ind w:firstLine="540"/>
        <w:jc w:val="center"/>
        <w:rPr>
          <w:rFonts w:asciiTheme="minorHAnsi" w:hAnsiTheme="minorHAnsi"/>
          <w:sz w:val="28"/>
          <w:szCs w:val="28"/>
        </w:rPr>
      </w:pP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О ВНЕСЕНИИ ИЗМЕНЕНИЙ В ЗАКОН ХАБАРОВСКОГО КРАЯ</w:t>
      </w: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 xml:space="preserve">"О РЕГИОНАЛЬНЫХ НАЛОГАХ И НАЛОГОВЫХ ЛЬГОТАХ </w:t>
      </w:r>
      <w:proofErr w:type="gramStart"/>
      <w:r w:rsidRPr="00F96978">
        <w:rPr>
          <w:rFonts w:asciiTheme="minorHAnsi" w:hAnsiTheme="minorHAnsi"/>
          <w:sz w:val="28"/>
          <w:szCs w:val="28"/>
        </w:rPr>
        <w:t>В</w:t>
      </w:r>
      <w:proofErr w:type="gramEnd"/>
      <w:r w:rsidRPr="00F96978">
        <w:rPr>
          <w:rFonts w:asciiTheme="minorHAnsi" w:hAnsiTheme="minorHAnsi"/>
          <w:sz w:val="28"/>
          <w:szCs w:val="28"/>
        </w:rPr>
        <w:t xml:space="preserve"> ХАБАРОВСКОМ</w:t>
      </w:r>
    </w:p>
    <w:p w:rsidR="00F96978" w:rsidRPr="00F96978" w:rsidRDefault="00F96978" w:rsidP="00F96978">
      <w:pPr>
        <w:pStyle w:val="ConsPlusNormal"/>
        <w:ind w:firstLine="540"/>
        <w:jc w:val="center"/>
        <w:rPr>
          <w:rFonts w:asciiTheme="minorHAnsi" w:hAnsiTheme="minorHAnsi"/>
          <w:sz w:val="28"/>
          <w:szCs w:val="28"/>
        </w:rPr>
      </w:pPr>
      <w:proofErr w:type="gramStart"/>
      <w:r w:rsidRPr="00F96978">
        <w:rPr>
          <w:rFonts w:asciiTheme="minorHAnsi" w:hAnsiTheme="minorHAnsi"/>
          <w:sz w:val="28"/>
          <w:szCs w:val="28"/>
        </w:rPr>
        <w:t>КРАЕ</w:t>
      </w:r>
      <w:proofErr w:type="gramEnd"/>
      <w:r w:rsidRPr="00F96978">
        <w:rPr>
          <w:rFonts w:asciiTheme="minorHAnsi" w:hAnsiTheme="minorHAnsi"/>
          <w:sz w:val="28"/>
          <w:szCs w:val="28"/>
        </w:rPr>
        <w:t>" И СТАТЬЮ 1 ЗАКОНА ХАБАРОВСКОГО КРАЯ "ОБ УСТАНОВЛЕНИИ</w:t>
      </w: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ЕДИНЫХ НОРМАТИВОВ ОТЧИСЛЕНИЙ В БЮДЖЕТЫ ГОРОДСКИХ И СЕЛЬСКИХ</w:t>
      </w:r>
      <w:r>
        <w:rPr>
          <w:rFonts w:asciiTheme="minorHAnsi" w:hAnsiTheme="minorHAnsi"/>
          <w:sz w:val="28"/>
          <w:szCs w:val="28"/>
        </w:rPr>
        <w:t xml:space="preserve"> </w:t>
      </w:r>
      <w:r w:rsidRPr="00F96978">
        <w:rPr>
          <w:rFonts w:asciiTheme="minorHAnsi" w:hAnsiTheme="minorHAnsi"/>
          <w:sz w:val="28"/>
          <w:szCs w:val="28"/>
        </w:rPr>
        <w:t>ПОСЕЛЕНИЙ, МУНИЦИПАЛЬНЫХ РАЙОНОВ И ГОРОДСКИХ ОКРУГОВ</w:t>
      </w: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ХАБАРОВСКОГО КРАЯ ОТ ОТДЕЛЬНЫХ ФЕДЕРАЛЬНЫХ НАЛОГОВ И СБОРОВ,</w:t>
      </w:r>
      <w:r>
        <w:rPr>
          <w:rFonts w:asciiTheme="minorHAnsi" w:hAnsiTheme="minorHAnsi"/>
          <w:sz w:val="28"/>
          <w:szCs w:val="28"/>
        </w:rPr>
        <w:t xml:space="preserve"> </w:t>
      </w:r>
      <w:r w:rsidRPr="00F96978">
        <w:rPr>
          <w:rFonts w:asciiTheme="minorHAnsi" w:hAnsiTheme="minorHAnsi"/>
          <w:sz w:val="28"/>
          <w:szCs w:val="28"/>
        </w:rPr>
        <w:t xml:space="preserve">В ТОМ ЧИСЛЕ НАЛОГОВ, ПРЕДУСМОТРЕННЫХ </w:t>
      </w:r>
      <w:proofErr w:type="gramStart"/>
      <w:r w:rsidRPr="00F96978">
        <w:rPr>
          <w:rFonts w:asciiTheme="minorHAnsi" w:hAnsiTheme="minorHAnsi"/>
          <w:sz w:val="28"/>
          <w:szCs w:val="28"/>
        </w:rPr>
        <w:t>СПЕЦИАЛЬНЫМИ</w:t>
      </w:r>
      <w:proofErr w:type="gramEnd"/>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НАЛОГОВЫМИ РЕЖИМАМИ, И РЕГИОНАЛЬНЫХ НАЛОГОВ,</w:t>
      </w:r>
    </w:p>
    <w:p w:rsidR="00F96978" w:rsidRPr="00F96978" w:rsidRDefault="00F96978" w:rsidP="00F96978">
      <w:pPr>
        <w:pStyle w:val="ConsPlusNormal"/>
        <w:ind w:firstLine="540"/>
        <w:jc w:val="center"/>
        <w:rPr>
          <w:rFonts w:asciiTheme="minorHAnsi" w:hAnsiTheme="minorHAnsi"/>
          <w:sz w:val="28"/>
          <w:szCs w:val="28"/>
        </w:rPr>
      </w:pPr>
      <w:r w:rsidRPr="00F96978">
        <w:rPr>
          <w:rFonts w:asciiTheme="minorHAnsi" w:hAnsiTheme="minorHAnsi"/>
          <w:sz w:val="28"/>
          <w:szCs w:val="28"/>
        </w:rPr>
        <w:t>ПОДЛЕЖАЩИХ ЗАЧИСЛЕНИЮ В КРАЕВОЙ БЮДЖЕТ"</w:t>
      </w:r>
    </w:p>
    <w:p w:rsidR="00F96978" w:rsidRPr="00F96978" w:rsidRDefault="00F96978"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Статья 1 вступает в силу с 1 января 2018 года, но не ранее чем по истечении одного месяца со дня официального опубликования и не ранее 1-го числа очередного налогового периода по соответствующему налогу (часть 2 статьи 3 данного документа).</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Статья 1</w:t>
      </w:r>
    </w:p>
    <w:p w:rsidR="00F96978" w:rsidRPr="00F96978" w:rsidRDefault="00F96978"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Внести в Закон Хабаровского края от 10 ноября 2005 года N 308 "О региональных налогах и налоговых льготах в Хабаровском крае" следующие изменения:</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часть 2 статьи 1 после слов "главой 30" дополнить словами "части второй";</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в статье 2:</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пункты 4, 5 части 2 признать утратившими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б) часть 4 изложить в следующей редакции: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"4. Налоговая ставка устанавливается в размере 0,5 процента для организаций, производящих сельскохозяйственную продукцию и реализующих данную продукцию, включая продукты ее первичной переработки, - в отношении имущества, используемого для производства, переработки и хранения сельскохозяйственной продукции.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Право на применение пониженной налоговой ставки предоставляется, если за налоговый или отчетный период доля выручки от реализации произведенной сельскохозяйственной продукции, включая продукты ее первичной переработки, составляла не менее 70 процентов в общей выручке от реализации товаров (работ, услуг) организации.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Перечень сельскохозяйственной продукции и продукции ее первичной переработки определяется в соответствии с порядком отнесения видов </w:t>
      </w:r>
      <w:r w:rsidRPr="00F96978">
        <w:rPr>
          <w:rFonts w:asciiTheme="minorHAnsi" w:hAnsiTheme="minorHAnsi"/>
          <w:sz w:val="28"/>
          <w:szCs w:val="28"/>
        </w:rPr>
        <w:lastRenderedPageBreak/>
        <w:t>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утвержденным Правительством Российской Федерации в целях применения главы 26.1 части второй Налогового кодекса</w:t>
      </w:r>
      <w:proofErr w:type="gramStart"/>
      <w:r w:rsidRPr="00F96978">
        <w:rPr>
          <w:rFonts w:asciiTheme="minorHAnsi" w:hAnsiTheme="minorHAnsi"/>
          <w:sz w:val="28"/>
          <w:szCs w:val="28"/>
        </w:rPr>
        <w:t>.";</w:t>
      </w:r>
      <w:proofErr w:type="gramEnd"/>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3) в статье 3:</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пункт 4 признать утратившим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б) в пункте 6 слова "краевого и (или)" исключить;</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в) пункты 8, 9 признать утратившими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г) в пункте 10:</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в абзаце третьем слова "трех лет" заменить словами "двух лет";</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дополнить абзацем следующего содержания:</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"Повторное освобождение налогоплательщика от уплаты налога, предусмотренное настоящим пунктом, не допускается</w:t>
      </w:r>
      <w:proofErr w:type="gramStart"/>
      <w:r w:rsidRPr="00F96978">
        <w:rPr>
          <w:rFonts w:asciiTheme="minorHAnsi" w:hAnsiTheme="minorHAnsi"/>
          <w:sz w:val="28"/>
          <w:szCs w:val="28"/>
        </w:rPr>
        <w:t>;"</w:t>
      </w:r>
      <w:proofErr w:type="gramEnd"/>
      <w:r w:rsidRPr="00F96978">
        <w:rPr>
          <w:rFonts w:asciiTheme="minorHAnsi" w:hAnsiTheme="minorHAnsi"/>
          <w:sz w:val="28"/>
          <w:szCs w:val="28"/>
        </w:rPr>
        <w:t>;</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д) пункт 13 признать утратившим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4) в статье 7:</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в части 2:</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подпункты "б", "ж" пункта 1 признать утратившими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абзац первый подпункта "б" пункта 2 после слов "статьей 358" дополнить словами "части второй";</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пункт 4 признать утратившим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б) часть 3 признать утратившей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в) дополнить частью 5 следующего содержания:</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"5. Ставки налога устанавливаются в размере 10 процентов от ставок налога, установленных статьей 6 настоящего закона, в отношении автомобильных транспортных средств, признаваемых объектами налогообложения, для следующих категорий налогоплательщиков:</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организаций - сельскохозяйственных товаропроизводителей, в том числе признаваемых таковыми сельскохозяйственных потребительских кооперативов в соответствии с Федеральным законом от 29 декабря 2006 года N 264-ФЗ "О развитии сельского хозяйства".</w:t>
      </w:r>
    </w:p>
    <w:p w:rsidR="00F96978" w:rsidRPr="00F96978" w:rsidRDefault="00F96978" w:rsidP="00F96978">
      <w:pPr>
        <w:pStyle w:val="ConsPlusNormal"/>
        <w:ind w:firstLine="540"/>
        <w:jc w:val="both"/>
        <w:rPr>
          <w:rFonts w:asciiTheme="minorHAnsi" w:hAnsiTheme="minorHAnsi"/>
          <w:sz w:val="28"/>
          <w:szCs w:val="28"/>
        </w:rPr>
      </w:pPr>
      <w:proofErr w:type="gramStart"/>
      <w:r w:rsidRPr="00F96978">
        <w:rPr>
          <w:rFonts w:asciiTheme="minorHAnsi" w:hAnsiTheme="minorHAnsi"/>
          <w:sz w:val="28"/>
          <w:szCs w:val="28"/>
        </w:rPr>
        <w:t>Право на применение пониженной налоговой ставки предоставляется, если за год, предшествующий налоговому периоду, доля выручки от реализации сельскохозяйственной продукции собственного производства, включая продукты ее первичной переработки, а для сельскохозяйственных потребительских кооперативов - от реализации сельскохозяйственной продукции собственного производства членов данных кооперативов и (или) от выполненных работ (услуг) для членов данных сельскохозяйственных потребительских кооперативов составляла не менее 70 процентов общей суммы выручки</w:t>
      </w:r>
      <w:proofErr w:type="gramEnd"/>
      <w:r w:rsidRPr="00F96978">
        <w:rPr>
          <w:rFonts w:asciiTheme="minorHAnsi" w:hAnsiTheme="minorHAnsi"/>
          <w:sz w:val="28"/>
          <w:szCs w:val="28"/>
        </w:rPr>
        <w:t xml:space="preserve"> от реализации товаров (работ, услуг) организации;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крестьянских (фермерских) хозяйств и индивидуальных предпринимателей, производящих сельскохозяйственную продукцию и реализующих данную продукцию, включая продукты ее первичной переработки.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Право на применение пониженной налоговой ставки предоставляется, </w:t>
      </w:r>
      <w:r w:rsidRPr="00F96978">
        <w:rPr>
          <w:rFonts w:asciiTheme="minorHAnsi" w:hAnsiTheme="minorHAnsi"/>
          <w:sz w:val="28"/>
          <w:szCs w:val="28"/>
        </w:rPr>
        <w:lastRenderedPageBreak/>
        <w:t>если по итогам за налоговый период доля выручки от реализации произведенной сельскохозяйственной продукции, включая продукты ее первичной переработки, составляла не менее 70 процентов общей суммы выручки от реализации товаров (работ, услуг) крестьянского (фермерского) хозяйства и индивидуального предпринимателя.</w:t>
      </w:r>
    </w:p>
    <w:p w:rsidR="00F96978" w:rsidRPr="00F96978" w:rsidRDefault="00F96978" w:rsidP="00F96978">
      <w:pPr>
        <w:pStyle w:val="ConsPlusNormal"/>
        <w:ind w:firstLine="540"/>
        <w:jc w:val="both"/>
        <w:rPr>
          <w:rFonts w:asciiTheme="minorHAnsi" w:hAnsiTheme="minorHAnsi"/>
          <w:sz w:val="28"/>
          <w:szCs w:val="28"/>
        </w:rPr>
      </w:pPr>
      <w:proofErr w:type="gramStart"/>
      <w:r w:rsidRPr="00F96978">
        <w:rPr>
          <w:rFonts w:asciiTheme="minorHAnsi" w:hAnsiTheme="minorHAnsi"/>
          <w:sz w:val="28"/>
          <w:szCs w:val="28"/>
        </w:rPr>
        <w:t>Крестьянские (фермерские) хозяйства и индивидуальные предприниматели применяют пониженную налоговую ставку при условии предоставления в налоговые органы письменного заявления в произвольной форме о наличии права на применение настоящей льготы с указанием информации о доходах, полученных от реализации произведенной сельскохозяйственной продукции, а также копии и оригинала свидетельства о регистрации транспортного средства или выданного до введения свидетельств о регистрации транспортных средств технического паспорта</w:t>
      </w:r>
      <w:proofErr w:type="gramEnd"/>
      <w:r w:rsidRPr="00F96978">
        <w:rPr>
          <w:rFonts w:asciiTheme="minorHAnsi" w:hAnsiTheme="minorHAnsi"/>
          <w:sz w:val="28"/>
          <w:szCs w:val="28"/>
        </w:rPr>
        <w:t xml:space="preserve"> (технического талона) транспортного средства, если не была произведена его замена.</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В целях применения положений настоящей части перечень сельскохозяйственной продукции и продукции ее первичной переработки определяется в соответствии с порядком отнесения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утвержденным Правительством Российской Федерации в целях применения главы 26.1 части второй Налогового кодекса</w:t>
      </w:r>
      <w:proofErr w:type="gramStart"/>
      <w:r w:rsidRPr="00F96978">
        <w:rPr>
          <w:rFonts w:asciiTheme="minorHAnsi" w:hAnsiTheme="minorHAnsi"/>
          <w:sz w:val="28"/>
          <w:szCs w:val="28"/>
        </w:rPr>
        <w:t>.";</w:t>
      </w:r>
      <w:proofErr w:type="gramEnd"/>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5) статью 10.2 изложить в следующей редакции: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"Статья 10.2. Размеры потенциально возможного к получению индивидуальным предпринимателем годового дохода по видам предпринимательской деятельности</w:t>
      </w:r>
    </w:p>
    <w:p w:rsidR="00F96978" w:rsidRPr="00F96978" w:rsidRDefault="00F96978" w:rsidP="00F96978">
      <w:pPr>
        <w:pStyle w:val="ConsPlusNormal"/>
        <w:ind w:firstLine="540"/>
        <w:jc w:val="both"/>
        <w:rPr>
          <w:rFonts w:asciiTheme="minorHAnsi" w:hAnsiTheme="minorHAnsi"/>
          <w:sz w:val="28"/>
          <w:szCs w:val="28"/>
        </w:rPr>
      </w:pPr>
    </w:p>
    <w:p w:rsidR="00A10864"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Потенциально возможный к получению индивидуальным предпринимателем годовой доход по видам предпринимательской деятельности устанавливается в следующих размерах:</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44"/>
        <w:gridCol w:w="4060"/>
        <w:gridCol w:w="993"/>
        <w:gridCol w:w="425"/>
        <w:gridCol w:w="1219"/>
        <w:gridCol w:w="1644"/>
      </w:tblGrid>
      <w:tr w:rsidR="00A10864" w:rsidRPr="00F96978" w:rsidTr="00F96978">
        <w:tc>
          <w:tcPr>
            <w:tcW w:w="1044" w:type="dxa"/>
            <w:vMerge w:val="restart"/>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 xml:space="preserve">N </w:t>
            </w:r>
            <w:proofErr w:type="spellStart"/>
            <w:r w:rsidRPr="00F96978">
              <w:rPr>
                <w:rFonts w:asciiTheme="minorHAnsi" w:hAnsiTheme="minorHAnsi"/>
                <w:sz w:val="28"/>
                <w:szCs w:val="28"/>
              </w:rPr>
              <w:t>пп</w:t>
            </w:r>
            <w:proofErr w:type="spellEnd"/>
          </w:p>
        </w:tc>
        <w:tc>
          <w:tcPr>
            <w:tcW w:w="4060"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Вид предпринимательской деятельности</w:t>
            </w:r>
          </w:p>
        </w:tc>
        <w:tc>
          <w:tcPr>
            <w:tcW w:w="4281" w:type="dxa"/>
            <w:gridSpan w:val="4"/>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Размер потенциально возможного к получению индивидуальным предпринимателем годового дохода (рублей)</w:t>
            </w:r>
          </w:p>
        </w:tc>
      </w:tr>
      <w:tr w:rsidR="00A10864" w:rsidRPr="00F96978" w:rsidTr="00F96978">
        <w:tc>
          <w:tcPr>
            <w:tcW w:w="1044" w:type="dxa"/>
            <w:vMerge/>
          </w:tcPr>
          <w:p w:rsidR="00A10864" w:rsidRPr="00F96978" w:rsidRDefault="00A10864" w:rsidP="00F96978">
            <w:pPr>
              <w:spacing w:after="0" w:line="240" w:lineRule="auto"/>
              <w:rPr>
                <w:sz w:val="28"/>
                <w:szCs w:val="28"/>
              </w:rPr>
            </w:pPr>
          </w:p>
        </w:tc>
        <w:tc>
          <w:tcPr>
            <w:tcW w:w="8341" w:type="dxa"/>
            <w:gridSpan w:val="5"/>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 зависимости от средней численности наемных работников</w:t>
            </w:r>
          </w:p>
        </w:tc>
      </w:tr>
      <w:tr w:rsidR="00A10864" w:rsidRPr="00F96978" w:rsidTr="00F96978">
        <w:tc>
          <w:tcPr>
            <w:tcW w:w="1044" w:type="dxa"/>
            <w:vMerge/>
          </w:tcPr>
          <w:p w:rsidR="00A10864" w:rsidRPr="00F96978" w:rsidRDefault="00A10864" w:rsidP="00F96978">
            <w:pPr>
              <w:spacing w:after="0" w:line="240" w:lineRule="auto"/>
              <w:rPr>
                <w:sz w:val="28"/>
                <w:szCs w:val="28"/>
              </w:rPr>
            </w:pPr>
          </w:p>
        </w:tc>
        <w:tc>
          <w:tcPr>
            <w:tcW w:w="4060" w:type="dxa"/>
            <w:vMerge w:val="restart"/>
          </w:tcPr>
          <w:p w:rsidR="00A10864" w:rsidRPr="00F96978" w:rsidRDefault="00A10864" w:rsidP="00F96978">
            <w:pPr>
              <w:pStyle w:val="ConsPlusNormal"/>
              <w:jc w:val="center"/>
              <w:rPr>
                <w:rFonts w:asciiTheme="minorHAnsi" w:hAnsiTheme="minorHAnsi"/>
                <w:sz w:val="28"/>
                <w:szCs w:val="28"/>
              </w:rPr>
            </w:pPr>
          </w:p>
        </w:tc>
        <w:tc>
          <w:tcPr>
            <w:tcW w:w="1418" w:type="dxa"/>
            <w:gridSpan w:val="2"/>
            <w:vMerge w:val="restart"/>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без наемных работников</w:t>
            </w:r>
          </w:p>
        </w:tc>
        <w:tc>
          <w:tcPr>
            <w:tcW w:w="2863" w:type="dxa"/>
            <w:gridSpan w:val="2"/>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с наемными работниками</w:t>
            </w:r>
          </w:p>
        </w:tc>
      </w:tr>
      <w:tr w:rsidR="00A10864" w:rsidRPr="00F96978" w:rsidTr="00F96978">
        <w:tc>
          <w:tcPr>
            <w:tcW w:w="1044" w:type="dxa"/>
            <w:vMerge/>
          </w:tcPr>
          <w:p w:rsidR="00A10864" w:rsidRPr="00F96978" w:rsidRDefault="00A10864" w:rsidP="00F96978">
            <w:pPr>
              <w:spacing w:after="0" w:line="240" w:lineRule="auto"/>
              <w:rPr>
                <w:sz w:val="28"/>
                <w:szCs w:val="28"/>
              </w:rPr>
            </w:pPr>
          </w:p>
        </w:tc>
        <w:tc>
          <w:tcPr>
            <w:tcW w:w="4060" w:type="dxa"/>
            <w:vMerge/>
          </w:tcPr>
          <w:p w:rsidR="00A10864" w:rsidRPr="00F96978" w:rsidRDefault="00A10864" w:rsidP="00F96978">
            <w:pPr>
              <w:spacing w:after="0" w:line="240" w:lineRule="auto"/>
              <w:rPr>
                <w:sz w:val="28"/>
                <w:szCs w:val="28"/>
              </w:rPr>
            </w:pPr>
          </w:p>
        </w:tc>
        <w:tc>
          <w:tcPr>
            <w:tcW w:w="1418" w:type="dxa"/>
            <w:gridSpan w:val="2"/>
            <w:vMerge/>
          </w:tcPr>
          <w:p w:rsidR="00A10864" w:rsidRPr="00F96978" w:rsidRDefault="00A10864" w:rsidP="00F96978">
            <w:pPr>
              <w:spacing w:after="0" w:line="240" w:lineRule="auto"/>
              <w:rPr>
                <w:sz w:val="28"/>
                <w:szCs w:val="28"/>
              </w:rPr>
            </w:pPr>
          </w:p>
        </w:tc>
        <w:tc>
          <w:tcPr>
            <w:tcW w:w="1219"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от 1 до 4</w:t>
            </w:r>
          </w:p>
        </w:tc>
        <w:tc>
          <w:tcPr>
            <w:tcW w:w="16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от 5 до 15</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w:t>
            </w:r>
          </w:p>
        </w:tc>
        <w:tc>
          <w:tcPr>
            <w:tcW w:w="4060"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w:t>
            </w:r>
          </w:p>
        </w:tc>
        <w:tc>
          <w:tcPr>
            <w:tcW w:w="1418" w:type="dxa"/>
            <w:gridSpan w:val="2"/>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w:t>
            </w:r>
          </w:p>
        </w:tc>
        <w:tc>
          <w:tcPr>
            <w:tcW w:w="1219"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w:t>
            </w:r>
          </w:p>
        </w:tc>
        <w:tc>
          <w:tcPr>
            <w:tcW w:w="16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и пошив швейных, меховых и кожаных изделий, головных уборов и изделий из текстильной галантереи, ремонт, пошив и вязание трикотажных изделий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чистка, окраска и пошив обуви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Парикмахерские и косметические услуги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Химическая чистка, крашение и услуги прачечных</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Изготовление и ремонт металлической галантереи, ключей, номерных знаков, указателей улиц</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245 000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мебели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8.</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фотоателье, фот</w:t>
            </w:r>
            <w:proofErr w:type="gramStart"/>
            <w:r w:rsidRPr="00F96978">
              <w:rPr>
                <w:rFonts w:asciiTheme="minorHAnsi" w:hAnsiTheme="minorHAnsi"/>
                <w:sz w:val="28"/>
                <w:szCs w:val="28"/>
              </w:rPr>
              <w:t>о-</w:t>
            </w:r>
            <w:proofErr w:type="gramEnd"/>
            <w:r w:rsidRPr="00F96978">
              <w:rPr>
                <w:rFonts w:asciiTheme="minorHAnsi" w:hAnsiTheme="minorHAnsi"/>
                <w:sz w:val="28"/>
                <w:szCs w:val="28"/>
              </w:rPr>
              <w:t xml:space="preserve"> и кинолабораторий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9.</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 xml:space="preserve">Техническое обслуживание и ремонт автотранспортных и </w:t>
            </w:r>
            <w:proofErr w:type="spellStart"/>
            <w:r w:rsidRPr="00F96978">
              <w:rPr>
                <w:rFonts w:asciiTheme="minorHAnsi" w:hAnsiTheme="minorHAnsi"/>
                <w:sz w:val="28"/>
                <w:szCs w:val="28"/>
              </w:rPr>
              <w:t>мототранспортных</w:t>
            </w:r>
            <w:proofErr w:type="spellEnd"/>
            <w:r w:rsidRPr="00F96978">
              <w:rPr>
                <w:rFonts w:asciiTheme="minorHAnsi" w:hAnsiTheme="minorHAnsi"/>
                <w:sz w:val="28"/>
                <w:szCs w:val="28"/>
              </w:rPr>
              <w:t xml:space="preserve"> средств, машин и оборудования</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262 500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жилья и других построек</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262 500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производству монтажных, электромонтажных, санитарно-технических и сварочных работ</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262 500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 xml:space="preserve">Услуги по остеклению балконов и лоджий, нарезке стекла и </w:t>
            </w:r>
            <w:r w:rsidRPr="00F96978">
              <w:rPr>
                <w:rFonts w:asciiTheme="minorHAnsi" w:hAnsiTheme="minorHAnsi"/>
                <w:sz w:val="28"/>
                <w:szCs w:val="28"/>
              </w:rPr>
              <w:lastRenderedPageBreak/>
              <w:t>зеркал, художественной обработке стекла</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lastRenderedPageBreak/>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13.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обучению населения на курсах и по репетиторству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присмотру и уходу за детьми и больными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135 000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приему стеклопосуды и вторичного сырья, за исключением металлолома</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Ветеринарные услуги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280 000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Изготовление изделий народных художественных промыслов</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18.</w:t>
            </w:r>
          </w:p>
        </w:tc>
        <w:tc>
          <w:tcPr>
            <w:tcW w:w="4060" w:type="dxa"/>
            <w:vAlign w:val="center"/>
          </w:tcPr>
          <w:p w:rsidR="00A10864" w:rsidRPr="00F96978" w:rsidRDefault="00A10864" w:rsidP="00F96978">
            <w:pPr>
              <w:pStyle w:val="ConsPlusNormal"/>
              <w:jc w:val="both"/>
              <w:rPr>
                <w:rFonts w:asciiTheme="minorHAnsi" w:hAnsiTheme="minorHAnsi"/>
                <w:sz w:val="28"/>
                <w:szCs w:val="28"/>
              </w:rPr>
            </w:pPr>
            <w:proofErr w:type="gramStart"/>
            <w:r w:rsidRPr="00F96978">
              <w:rPr>
                <w:rFonts w:asciiTheme="minorHAnsi" w:hAnsiTheme="minorHAnsi"/>
                <w:sz w:val="28"/>
                <w:szCs w:val="28"/>
              </w:rPr>
              <w:t xml:space="preserve">Прочие услуги производственного характера (услуги по переработке сельскохозяйственных продуктов и даров леса, в том числе по помолу зерна, обдирке круп, переработке </w:t>
            </w:r>
            <w:proofErr w:type="spellStart"/>
            <w:r w:rsidRPr="00F96978">
              <w:rPr>
                <w:rFonts w:asciiTheme="minorHAnsi" w:hAnsiTheme="minorHAnsi"/>
                <w:sz w:val="28"/>
                <w:szCs w:val="28"/>
              </w:rPr>
              <w:t>маслосемян</w:t>
            </w:r>
            <w:proofErr w:type="spellEnd"/>
            <w:r w:rsidRPr="00F96978">
              <w:rPr>
                <w:rFonts w:asciiTheme="minorHAnsi" w:hAnsiTheme="minorHAnsi"/>
                <w:sz w:val="28"/>
                <w:szCs w:val="28"/>
              </w:rPr>
              <w:t>, изготовлению и копчению колбас, переработке картофеля, переработке давальческой мытой шерсти на трикотажную пряжу, выделке шкур животных, расчесу шерсти, стрижке домашних животных, ремонту и изготовлению бондарной посуды и гончарных изделий, защите садов, огородов и зеленых насаждений от вредителей и</w:t>
            </w:r>
            <w:proofErr w:type="gramEnd"/>
            <w:r w:rsidRPr="00F96978">
              <w:rPr>
                <w:rFonts w:asciiTheme="minorHAnsi" w:hAnsiTheme="minorHAnsi"/>
                <w:sz w:val="28"/>
                <w:szCs w:val="28"/>
              </w:rPr>
              <w:t xml:space="preserve"> </w:t>
            </w:r>
            <w:proofErr w:type="gramStart"/>
            <w:r w:rsidRPr="00F96978">
              <w:rPr>
                <w:rFonts w:asciiTheme="minorHAnsi" w:hAnsiTheme="minorHAnsi"/>
                <w:sz w:val="28"/>
                <w:szCs w:val="28"/>
              </w:rPr>
              <w:t xml:space="preserve">болезней; изготовление валяной обуви; изготовление сельскохозяйственного инвентаря из материала заказчика; граверные работы по металлу, стеклу, фарфору, дереву, керамике; изготовление </w:t>
            </w:r>
            <w:r w:rsidRPr="00F96978">
              <w:rPr>
                <w:rFonts w:asciiTheme="minorHAnsi" w:hAnsiTheme="minorHAnsi"/>
                <w:sz w:val="28"/>
                <w:szCs w:val="28"/>
              </w:rPr>
              <w:lastRenderedPageBreak/>
              <w:t>и ремонт деревянных лодок; ремонт игрушек; ремонт туристского снаряжения и инвентаря; услуги по вспашке огородов и распиловке дров; услуги по ремонту и изготовлению очковой оптики; изготовление и печатание визитных карточек и пригласительных билетов на семейные торжества;</w:t>
            </w:r>
            <w:proofErr w:type="gramEnd"/>
            <w:r w:rsidRPr="00F96978">
              <w:rPr>
                <w:rFonts w:asciiTheme="minorHAnsi" w:hAnsiTheme="minorHAnsi"/>
                <w:sz w:val="28"/>
                <w:szCs w:val="28"/>
              </w:rPr>
              <w:t xml:space="preserve"> переплетные, брошюровочные, окантовочные, картонажные работы; зарядка газовых баллончиков для сифонов, замена элементов питания в электронных часах и других приборах)</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lastRenderedPageBreak/>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19.</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Производство и реставрация ковров и ковровых изделий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ювелирных изделий, бижутерии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Чеканка и гравировка ювелирных изделий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157 500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280 000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Монофоническая и стереофоническая запись речи, пения, инструментального исполнения заказчика на магнитную ленту, компакт-диск, перезапись музыкальных и литературных произведений на магнитную ленту, компакт-диск</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уборке жилых помещений и ведению домашнего хозяйства</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157 500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280 000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оформлению интерьера жилого помещения и услуги художественного оформления</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300 000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25.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Проведение занятий по физической культуре и спорту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носильщиков на железнодорожных вокзалах, автовокзалах, аэровокзалах, в аэропортах, морских, речных портах</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платных туалетов</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187 500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28.</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поваров по изготовлению блюд на дому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29.</w:t>
            </w:r>
          </w:p>
        </w:tc>
        <w:tc>
          <w:tcPr>
            <w:tcW w:w="4060" w:type="dxa"/>
            <w:vAlign w:val="center"/>
          </w:tcPr>
          <w:p w:rsidR="00A10864" w:rsidRPr="00F96978" w:rsidRDefault="00A10864" w:rsidP="00F96978">
            <w:pPr>
              <w:pStyle w:val="ConsPlusNormal"/>
              <w:jc w:val="both"/>
              <w:rPr>
                <w:rFonts w:asciiTheme="minorHAnsi" w:hAnsiTheme="minorHAnsi"/>
                <w:sz w:val="28"/>
                <w:szCs w:val="28"/>
              </w:rPr>
            </w:pPr>
            <w:proofErr w:type="gramStart"/>
            <w:r w:rsidRPr="00F96978">
              <w:rPr>
                <w:rFonts w:asciiTheme="minorHAnsi" w:hAnsiTheme="minorHAnsi"/>
                <w:sz w:val="28"/>
                <w:szCs w:val="28"/>
              </w:rPr>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315 000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зеленому хозяйству и декоративному цветоводству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Ведение охотничьего хозяйства и осуществление охоты</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Занятие медицинской деятельностью или фармацевтической деятельностью лицом, имеющим лицензию на указанные виды деятельности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Осуществление частной детективной деятельности лицом, имеющим лицензию</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35.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прокату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Экскурсионные услуги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450 000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Обрядовые услуги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420 000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38.</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Ритуальные услуги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39.</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уличных патрулей, охранников, сторожей и вахтеров</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услуг по забою, транспортировке, перегонке, выпасу скота</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105 000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Производство кожи и изделий из кожи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245 000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600 000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 xml:space="preserve">Сбор и заготовка пищевых лесных ресурсов, </w:t>
            </w:r>
            <w:proofErr w:type="spellStart"/>
            <w:r w:rsidRPr="00F96978">
              <w:rPr>
                <w:rFonts w:asciiTheme="minorHAnsi" w:hAnsiTheme="minorHAnsi"/>
                <w:sz w:val="28"/>
                <w:szCs w:val="28"/>
              </w:rPr>
              <w:t>недревесных</w:t>
            </w:r>
            <w:proofErr w:type="spellEnd"/>
            <w:r w:rsidRPr="00F96978">
              <w:rPr>
                <w:rFonts w:asciiTheme="minorHAnsi" w:hAnsiTheme="minorHAnsi"/>
                <w:sz w:val="28"/>
                <w:szCs w:val="28"/>
              </w:rPr>
              <w:t xml:space="preserve"> лесных ресурсов и лекарственных растений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Сушка, переработка и консервирование фруктов и овощей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Производство молочной продукции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Производство плодово-ягодных посадочных материалов, выращивание рассады овощных культур и семян трав</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Производство хлебобулочных и мучных кондитерских изделий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84 000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245 000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Товарное и спортивное рыболовство и рыбоводство</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48.</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Лесоводство и прочая лесохозяйственная деятельность</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49.</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Деятельность по письменному и устному переводу</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112 500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50.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Деятельность по уходу за престарелыми и инвалидами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126 000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210 000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Сбор, обработка и утилизация отходов, а также обработка вторичного сырья</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245 000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350 000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Резка, обработка и отделка камня для памятников</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140 000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280 000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600 000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54.</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Ремонт компьютеров и коммуникационного оборудования</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150 000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55.</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418"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84 000</w:t>
            </w:r>
          </w:p>
        </w:tc>
        <w:tc>
          <w:tcPr>
            <w:tcW w:w="1219"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245 000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8341" w:type="dxa"/>
            <w:gridSpan w:val="5"/>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 зависимости от количества транспортных средств и грузоподъемности транспортного средства</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4060" w:type="dxa"/>
            <w:vAlign w:val="center"/>
          </w:tcPr>
          <w:p w:rsidR="00A10864" w:rsidRPr="00F96978" w:rsidRDefault="00A10864" w:rsidP="00F96978">
            <w:pPr>
              <w:pStyle w:val="ConsPlusNormal"/>
              <w:jc w:val="both"/>
              <w:rPr>
                <w:rFonts w:asciiTheme="minorHAnsi" w:hAnsiTheme="minorHAnsi"/>
                <w:sz w:val="28"/>
                <w:szCs w:val="28"/>
              </w:rPr>
            </w:pPr>
          </w:p>
        </w:tc>
        <w:tc>
          <w:tcPr>
            <w:tcW w:w="993"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до 1,5 тонны включительно</w:t>
            </w:r>
          </w:p>
        </w:tc>
        <w:tc>
          <w:tcPr>
            <w:tcW w:w="1644" w:type="dxa"/>
            <w:gridSpan w:val="2"/>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свыше 1,5 до 5 тонн включительно</w:t>
            </w:r>
          </w:p>
        </w:tc>
        <w:tc>
          <w:tcPr>
            <w:tcW w:w="16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свыше 5 тонн</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56.</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автотранспортных услуг по перевозке грузов автомобильным транспортом: на одно транспортное средство &lt;*&gt;</w:t>
            </w:r>
          </w:p>
        </w:tc>
        <w:tc>
          <w:tcPr>
            <w:tcW w:w="993"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375 000</w:t>
            </w:r>
          </w:p>
        </w:tc>
        <w:tc>
          <w:tcPr>
            <w:tcW w:w="1644"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425 000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500 000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8341" w:type="dxa"/>
            <w:gridSpan w:val="5"/>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 зависимости от количества транспортных средств</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57.</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 xml:space="preserve">Оказание автотранспортных услуг по перевозке пассажиров </w:t>
            </w:r>
            <w:r w:rsidRPr="00F96978">
              <w:rPr>
                <w:rFonts w:asciiTheme="minorHAnsi" w:hAnsiTheme="minorHAnsi"/>
                <w:sz w:val="28"/>
                <w:szCs w:val="28"/>
              </w:rPr>
              <w:lastRenderedPageBreak/>
              <w:t>автомобильным транспортом &lt;*&gt;:</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57.1.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регулярным внутригородским и пригородным перевозкам пассажиров автобусным транспортом: на одно транспортное средство</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1 120 000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57.2.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такси: на одно транспортное средство</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187 500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57.3.</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автотранспортных услуг по перевозке пассажиров автомобильным транспортом, за исключением услуг по регулярным внутригородским и пригородным перевозкам пассажиров автобусным транспортом, услуг такси: на одно транспортное средство</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750 000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58.</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услуг по перевозке пассажиров водным транспортом: на одно транспортное средство &lt;*&gt;</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700 000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59.</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Оказание услуг по перевозке грузов водным транспортом: на одно транспортное средство &lt;*&gt;</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8341" w:type="dxa"/>
            <w:gridSpan w:val="5"/>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 зависимости от количества обособленных объектов</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60.</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по каждому объекту организации торговли &lt;**&gt;</w:t>
            </w:r>
          </w:p>
        </w:tc>
        <w:tc>
          <w:tcPr>
            <w:tcW w:w="4281" w:type="dxa"/>
            <w:gridSpan w:val="4"/>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1 200 000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8341" w:type="dxa"/>
            <w:gridSpan w:val="5"/>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в зависимости от площади обособленного объекта</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p>
        </w:tc>
        <w:tc>
          <w:tcPr>
            <w:tcW w:w="4060" w:type="dxa"/>
            <w:vAlign w:val="center"/>
          </w:tcPr>
          <w:p w:rsidR="00A10864" w:rsidRPr="00F96978" w:rsidRDefault="00A10864" w:rsidP="00F96978">
            <w:pPr>
              <w:pStyle w:val="ConsPlusNormal"/>
              <w:jc w:val="both"/>
              <w:rPr>
                <w:rFonts w:asciiTheme="minorHAnsi" w:hAnsiTheme="minorHAnsi"/>
                <w:sz w:val="28"/>
                <w:szCs w:val="28"/>
              </w:rPr>
            </w:pPr>
          </w:p>
        </w:tc>
        <w:tc>
          <w:tcPr>
            <w:tcW w:w="993" w:type="dxa"/>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 xml:space="preserve">до 20 </w:t>
            </w:r>
            <w:r w:rsidRPr="00F96978">
              <w:rPr>
                <w:rFonts w:asciiTheme="minorHAnsi" w:hAnsiTheme="minorHAnsi"/>
                <w:sz w:val="28"/>
                <w:szCs w:val="28"/>
              </w:rPr>
              <w:lastRenderedPageBreak/>
              <w:t>кв. м включительно</w:t>
            </w:r>
          </w:p>
        </w:tc>
        <w:tc>
          <w:tcPr>
            <w:tcW w:w="1644" w:type="dxa"/>
            <w:gridSpan w:val="2"/>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 xml:space="preserve">свыше 20 до </w:t>
            </w:r>
            <w:r w:rsidRPr="00F96978">
              <w:rPr>
                <w:rFonts w:asciiTheme="minorHAnsi" w:hAnsiTheme="minorHAnsi"/>
                <w:sz w:val="28"/>
                <w:szCs w:val="28"/>
              </w:rPr>
              <w:lastRenderedPageBreak/>
              <w:t>30 кв. м включительно</w:t>
            </w:r>
          </w:p>
        </w:tc>
        <w:tc>
          <w:tcPr>
            <w:tcW w:w="1644" w:type="dxa"/>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 xml:space="preserve">свыше 30 до </w:t>
            </w:r>
            <w:r w:rsidRPr="00F96978">
              <w:rPr>
                <w:rFonts w:asciiTheme="minorHAnsi" w:hAnsiTheme="minorHAnsi"/>
                <w:sz w:val="28"/>
                <w:szCs w:val="28"/>
              </w:rPr>
              <w:lastRenderedPageBreak/>
              <w:t>50 кв. м включительно</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61.</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Розничная торговля,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 &lt;**&gt;</w:t>
            </w:r>
          </w:p>
        </w:tc>
        <w:tc>
          <w:tcPr>
            <w:tcW w:w="993"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1 200 000</w:t>
            </w:r>
          </w:p>
        </w:tc>
        <w:tc>
          <w:tcPr>
            <w:tcW w:w="1644"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2 500 000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4 000 000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62.</w:t>
            </w:r>
          </w:p>
        </w:tc>
        <w:tc>
          <w:tcPr>
            <w:tcW w:w="4060" w:type="dxa"/>
            <w:vAlign w:val="center"/>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общественного питания,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 &lt;**&gt;</w:t>
            </w:r>
          </w:p>
        </w:tc>
        <w:tc>
          <w:tcPr>
            <w:tcW w:w="993"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900 000</w:t>
            </w:r>
          </w:p>
        </w:tc>
        <w:tc>
          <w:tcPr>
            <w:tcW w:w="1644" w:type="dxa"/>
            <w:gridSpan w:val="2"/>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1 200 000</w:t>
            </w:r>
          </w:p>
        </w:tc>
        <w:tc>
          <w:tcPr>
            <w:tcW w:w="1644" w:type="dxa"/>
            <w:vAlign w:val="bottom"/>
          </w:tcPr>
          <w:p w:rsidR="00A10864" w:rsidRPr="00F96978" w:rsidRDefault="00A10864" w:rsidP="00F96978">
            <w:pPr>
              <w:pStyle w:val="ConsPlusNormal"/>
              <w:jc w:val="right"/>
              <w:rPr>
                <w:rFonts w:asciiTheme="minorHAnsi" w:hAnsiTheme="minorHAnsi"/>
                <w:sz w:val="28"/>
                <w:szCs w:val="28"/>
              </w:rPr>
            </w:pPr>
            <w:r w:rsidRPr="00F96978">
              <w:rPr>
                <w:rFonts w:asciiTheme="minorHAnsi" w:hAnsiTheme="minorHAnsi"/>
                <w:sz w:val="28"/>
                <w:szCs w:val="28"/>
              </w:rPr>
              <w:t>2 000 000</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63.</w:t>
            </w:r>
          </w:p>
        </w:tc>
        <w:tc>
          <w:tcPr>
            <w:tcW w:w="4060" w:type="dxa"/>
            <w:vAlign w:val="center"/>
          </w:tcPr>
          <w:p w:rsidR="00A10864" w:rsidRPr="00F96978" w:rsidRDefault="00A10864" w:rsidP="00F96978">
            <w:pPr>
              <w:pStyle w:val="ConsPlusNormal"/>
              <w:jc w:val="both"/>
              <w:rPr>
                <w:rFonts w:asciiTheme="minorHAnsi" w:hAnsiTheme="minorHAnsi"/>
                <w:sz w:val="28"/>
                <w:szCs w:val="28"/>
              </w:rPr>
            </w:pPr>
            <w:proofErr w:type="gramStart"/>
            <w:r w:rsidRPr="00F96978">
              <w:rPr>
                <w:rFonts w:asciiTheme="minorHAnsi" w:hAnsiTheme="minorHAnsi"/>
                <w:sz w:val="28"/>
                <w:szCs w:val="28"/>
              </w:rPr>
              <w:t>Сдача в аренду (наем) жилых и нежилых помещений, дач, земельных участков, принадлежащих индивидуальному предпринимателю на праве собственности, - в отношении одного обособленного объекта, передаваемого в аренду (наем) на основании договора аренды (найма), заключаемого индивидуальным предпринимателем - арендодателем (</w:t>
            </w:r>
            <w:proofErr w:type="spellStart"/>
            <w:r w:rsidRPr="00F96978">
              <w:rPr>
                <w:rFonts w:asciiTheme="minorHAnsi" w:hAnsiTheme="minorHAnsi"/>
                <w:sz w:val="28"/>
                <w:szCs w:val="28"/>
              </w:rPr>
              <w:t>наймодателем</w:t>
            </w:r>
            <w:proofErr w:type="spellEnd"/>
            <w:r w:rsidRPr="00F96978">
              <w:rPr>
                <w:rFonts w:asciiTheme="minorHAnsi" w:hAnsiTheme="minorHAnsi"/>
                <w:sz w:val="28"/>
                <w:szCs w:val="28"/>
              </w:rPr>
              <w:t>) с арендаторами (нанимателями): &lt;**&gt;</w:t>
            </w:r>
            <w:proofErr w:type="gramEnd"/>
          </w:p>
        </w:tc>
        <w:tc>
          <w:tcPr>
            <w:tcW w:w="993" w:type="dxa"/>
            <w:vAlign w:val="bottom"/>
          </w:tcPr>
          <w:p w:rsidR="00A10864" w:rsidRPr="00F96978" w:rsidRDefault="00A10864" w:rsidP="00F96978">
            <w:pPr>
              <w:pStyle w:val="ConsPlusNormal"/>
              <w:jc w:val="right"/>
              <w:rPr>
                <w:rFonts w:asciiTheme="minorHAnsi" w:hAnsiTheme="minorHAnsi"/>
                <w:sz w:val="28"/>
                <w:szCs w:val="28"/>
              </w:rPr>
            </w:pPr>
          </w:p>
        </w:tc>
        <w:tc>
          <w:tcPr>
            <w:tcW w:w="1644" w:type="dxa"/>
            <w:gridSpan w:val="2"/>
            <w:vAlign w:val="bottom"/>
          </w:tcPr>
          <w:p w:rsidR="00A10864" w:rsidRPr="00F96978" w:rsidRDefault="00A10864" w:rsidP="00F96978">
            <w:pPr>
              <w:pStyle w:val="ConsPlusNormal"/>
              <w:jc w:val="right"/>
              <w:rPr>
                <w:rFonts w:asciiTheme="minorHAnsi" w:hAnsiTheme="minorHAnsi"/>
                <w:sz w:val="28"/>
                <w:szCs w:val="28"/>
              </w:rPr>
            </w:pPr>
          </w:p>
        </w:tc>
        <w:tc>
          <w:tcPr>
            <w:tcW w:w="1644" w:type="dxa"/>
            <w:vAlign w:val="bottom"/>
          </w:tcPr>
          <w:p w:rsidR="00A10864" w:rsidRPr="00F96978" w:rsidRDefault="00A10864" w:rsidP="00F96978">
            <w:pPr>
              <w:pStyle w:val="ConsPlusNormal"/>
              <w:jc w:val="right"/>
              <w:rPr>
                <w:rFonts w:asciiTheme="minorHAnsi" w:hAnsiTheme="minorHAnsi"/>
                <w:sz w:val="28"/>
                <w:szCs w:val="28"/>
              </w:rPr>
            </w:pP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63.1.</w:t>
            </w:r>
          </w:p>
        </w:tc>
        <w:tc>
          <w:tcPr>
            <w:tcW w:w="4060" w:type="dxa"/>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Услуги по сдаче в аренду (наем) жилых помещений, дач, земельных участков</w:t>
            </w:r>
          </w:p>
        </w:tc>
        <w:tc>
          <w:tcPr>
            <w:tcW w:w="4281" w:type="dxa"/>
            <w:gridSpan w:val="4"/>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5 140 на 1 квадратный метр площади, но не более 10 600 000 рублей на один обособленный объект</w:t>
            </w:r>
          </w:p>
        </w:tc>
      </w:tr>
      <w:tr w:rsidR="00A10864" w:rsidRPr="00F96978" w:rsidTr="00F96978">
        <w:tc>
          <w:tcPr>
            <w:tcW w:w="1044" w:type="dxa"/>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t>63.2.</w:t>
            </w:r>
          </w:p>
        </w:tc>
        <w:tc>
          <w:tcPr>
            <w:tcW w:w="4060" w:type="dxa"/>
          </w:tcPr>
          <w:p w:rsidR="00A10864" w:rsidRPr="00F96978" w:rsidRDefault="00A10864" w:rsidP="00F96978">
            <w:pPr>
              <w:pStyle w:val="ConsPlusNormal"/>
              <w:jc w:val="both"/>
              <w:rPr>
                <w:rFonts w:asciiTheme="minorHAnsi" w:hAnsiTheme="minorHAnsi"/>
                <w:sz w:val="28"/>
                <w:szCs w:val="28"/>
              </w:rPr>
            </w:pPr>
            <w:r w:rsidRPr="00F96978">
              <w:rPr>
                <w:rFonts w:asciiTheme="minorHAnsi" w:hAnsiTheme="minorHAnsi"/>
                <w:sz w:val="28"/>
                <w:szCs w:val="28"/>
              </w:rPr>
              <w:t xml:space="preserve">Услуги по сдаче в аренду (наем) </w:t>
            </w:r>
            <w:r w:rsidRPr="00F96978">
              <w:rPr>
                <w:rFonts w:asciiTheme="minorHAnsi" w:hAnsiTheme="minorHAnsi"/>
                <w:sz w:val="28"/>
                <w:szCs w:val="28"/>
              </w:rPr>
              <w:lastRenderedPageBreak/>
              <w:t>нежилых помещений</w:t>
            </w:r>
          </w:p>
        </w:tc>
        <w:tc>
          <w:tcPr>
            <w:tcW w:w="4281" w:type="dxa"/>
            <w:gridSpan w:val="4"/>
            <w:vAlign w:val="bottom"/>
          </w:tcPr>
          <w:p w:rsidR="00A10864" w:rsidRPr="00F96978" w:rsidRDefault="00A10864" w:rsidP="00F96978">
            <w:pPr>
              <w:pStyle w:val="ConsPlusNormal"/>
              <w:jc w:val="center"/>
              <w:rPr>
                <w:rFonts w:asciiTheme="minorHAnsi" w:hAnsiTheme="minorHAnsi"/>
                <w:sz w:val="28"/>
                <w:szCs w:val="28"/>
              </w:rPr>
            </w:pPr>
            <w:r w:rsidRPr="00F96978">
              <w:rPr>
                <w:rFonts w:asciiTheme="minorHAnsi" w:hAnsiTheme="minorHAnsi"/>
                <w:sz w:val="28"/>
                <w:szCs w:val="28"/>
              </w:rPr>
              <w:lastRenderedPageBreak/>
              <w:t xml:space="preserve">9 000 на 1 квадратный метр </w:t>
            </w:r>
            <w:r w:rsidRPr="00F96978">
              <w:rPr>
                <w:rFonts w:asciiTheme="minorHAnsi" w:hAnsiTheme="minorHAnsi"/>
                <w:sz w:val="28"/>
                <w:szCs w:val="28"/>
              </w:rPr>
              <w:lastRenderedPageBreak/>
              <w:t>площади, но не более 10 600 000 рублей на один обособленный объект</w:t>
            </w:r>
          </w:p>
        </w:tc>
      </w:tr>
      <w:tr w:rsidR="00A10864" w:rsidRPr="00F96978" w:rsidTr="00F96978">
        <w:tc>
          <w:tcPr>
            <w:tcW w:w="9385" w:type="dxa"/>
            <w:gridSpan w:val="6"/>
            <w:vAlign w:val="bottom"/>
          </w:tcPr>
          <w:p w:rsidR="00A10864" w:rsidRPr="00F96978" w:rsidRDefault="00A10864" w:rsidP="00F96978">
            <w:pPr>
              <w:pStyle w:val="ConsPlusNormal"/>
              <w:ind w:firstLine="283"/>
              <w:jc w:val="both"/>
              <w:rPr>
                <w:rFonts w:asciiTheme="minorHAnsi" w:hAnsiTheme="minorHAnsi"/>
                <w:sz w:val="28"/>
                <w:szCs w:val="28"/>
              </w:rPr>
            </w:pPr>
            <w:r w:rsidRPr="00F96978">
              <w:rPr>
                <w:rFonts w:asciiTheme="minorHAnsi" w:hAnsiTheme="minorHAnsi"/>
                <w:sz w:val="28"/>
                <w:szCs w:val="28"/>
              </w:rPr>
              <w:lastRenderedPageBreak/>
              <w:t>--------------------------------</w:t>
            </w:r>
          </w:p>
          <w:p w:rsidR="00A10864" w:rsidRPr="00F96978" w:rsidRDefault="00A10864" w:rsidP="00F96978">
            <w:pPr>
              <w:pStyle w:val="ConsPlusNormal"/>
              <w:ind w:firstLine="283"/>
              <w:jc w:val="both"/>
              <w:rPr>
                <w:rFonts w:asciiTheme="minorHAnsi" w:hAnsiTheme="minorHAnsi"/>
                <w:sz w:val="28"/>
                <w:szCs w:val="28"/>
              </w:rPr>
            </w:pPr>
            <w:r w:rsidRPr="00F96978">
              <w:rPr>
                <w:rFonts w:asciiTheme="minorHAnsi" w:hAnsiTheme="minorHAnsi"/>
                <w:sz w:val="28"/>
                <w:szCs w:val="28"/>
              </w:rPr>
              <w:t>&lt;*&gt; При наличии нескольких транспортных средств общий размер потенциально возможного к получению индивидуальным предпринимателем годового дохода рассчитывается путем суммирования доходов, предусмотренных для каждого транспортного средства в отдельности.</w:t>
            </w:r>
          </w:p>
          <w:p w:rsidR="00A10864" w:rsidRPr="00F96978" w:rsidRDefault="00A10864" w:rsidP="00F96978">
            <w:pPr>
              <w:pStyle w:val="ConsPlusNormal"/>
              <w:ind w:firstLine="283"/>
              <w:jc w:val="both"/>
              <w:rPr>
                <w:rFonts w:asciiTheme="minorHAnsi" w:hAnsiTheme="minorHAnsi"/>
                <w:sz w:val="28"/>
                <w:szCs w:val="28"/>
              </w:rPr>
            </w:pPr>
            <w:r w:rsidRPr="00F96978">
              <w:rPr>
                <w:rFonts w:asciiTheme="minorHAnsi" w:hAnsiTheme="minorHAnsi"/>
                <w:sz w:val="28"/>
                <w:szCs w:val="28"/>
              </w:rPr>
              <w:t>&lt;**&gt; При наличии нескольких обособленных объектов общий размер потенциально возможного к получению индивидуальным предпринимателем годового дохода рассчитывается путем суммирования доходов, предусмотренных для каждого обособленного объекта в отдельности.</w:t>
            </w:r>
          </w:p>
        </w:tc>
      </w:tr>
    </w:tbl>
    <w:p w:rsidR="00A10864" w:rsidRPr="00F96978" w:rsidRDefault="00A10864"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2. </w:t>
      </w:r>
      <w:proofErr w:type="gramStart"/>
      <w:r w:rsidRPr="00F96978">
        <w:rPr>
          <w:rFonts w:asciiTheme="minorHAnsi" w:hAnsiTheme="minorHAnsi"/>
          <w:sz w:val="28"/>
          <w:szCs w:val="28"/>
        </w:rPr>
        <w:t>В целях установления размеров потенциально возможного к получению индивидуальным предпринимателем годового дохода по видам деятельности, в отношении которых применяется патентная система налогообложения, за исключением патентов на осуществление видов предпринимательской деятельности, указанных в строках 56, 57 - 57.4, 58, 59, 60 (в части, касающейся развозной и разносной розничной торговли), 63 - 63.2 таблицы части 1 настоящей статьи, на период 2018 - 2020 годов дифференцировать</w:t>
      </w:r>
      <w:proofErr w:type="gramEnd"/>
      <w:r w:rsidRPr="00F96978">
        <w:rPr>
          <w:rFonts w:asciiTheme="minorHAnsi" w:hAnsiTheme="minorHAnsi"/>
          <w:sz w:val="28"/>
          <w:szCs w:val="28"/>
        </w:rPr>
        <w:t xml:space="preserve"> территорию края по территориям действия патентов по следующим группам муниципальных образований:</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группа I: городской округ "Город Хабаровск" - с коэффициентом дифференциации в значении 1;</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группа II: городской округ "Город Комсомольск-на-Амуре" - с коэффициентом дифференциации в значении 0,9;</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3) группа III: Амурский, </w:t>
      </w:r>
      <w:proofErr w:type="spellStart"/>
      <w:r w:rsidRPr="00F96978">
        <w:rPr>
          <w:rFonts w:asciiTheme="minorHAnsi" w:hAnsiTheme="minorHAnsi"/>
          <w:sz w:val="28"/>
          <w:szCs w:val="28"/>
        </w:rPr>
        <w:t>Бикинский</w:t>
      </w:r>
      <w:proofErr w:type="spellEnd"/>
      <w:r w:rsidRPr="00F96978">
        <w:rPr>
          <w:rFonts w:asciiTheme="minorHAnsi" w:hAnsiTheme="minorHAnsi"/>
          <w:sz w:val="28"/>
          <w:szCs w:val="28"/>
        </w:rPr>
        <w:t xml:space="preserve">, </w:t>
      </w:r>
      <w:proofErr w:type="spellStart"/>
      <w:r w:rsidRPr="00F96978">
        <w:rPr>
          <w:rFonts w:asciiTheme="minorHAnsi" w:hAnsiTheme="minorHAnsi"/>
          <w:sz w:val="28"/>
          <w:szCs w:val="28"/>
        </w:rPr>
        <w:t>Ванинский</w:t>
      </w:r>
      <w:proofErr w:type="spellEnd"/>
      <w:r w:rsidRPr="00F96978">
        <w:rPr>
          <w:rFonts w:asciiTheme="minorHAnsi" w:hAnsiTheme="minorHAnsi"/>
          <w:sz w:val="28"/>
          <w:szCs w:val="28"/>
        </w:rPr>
        <w:t xml:space="preserve">, </w:t>
      </w:r>
      <w:proofErr w:type="spellStart"/>
      <w:r w:rsidRPr="00F96978">
        <w:rPr>
          <w:rFonts w:asciiTheme="minorHAnsi" w:hAnsiTheme="minorHAnsi"/>
          <w:sz w:val="28"/>
          <w:szCs w:val="28"/>
        </w:rPr>
        <w:t>Верхнебуреинский</w:t>
      </w:r>
      <w:proofErr w:type="spellEnd"/>
      <w:r w:rsidRPr="00F96978">
        <w:rPr>
          <w:rFonts w:asciiTheme="minorHAnsi" w:hAnsiTheme="minorHAnsi"/>
          <w:sz w:val="28"/>
          <w:szCs w:val="28"/>
        </w:rPr>
        <w:t>, Вяземский, Комсомольский, имени Лазо, Нанайский, Советско-Гаванский, Солнечный, Хабаровский муниципальные районы - с коэффициентом дифференциации в значении 0,5;</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4) группа IV: </w:t>
      </w:r>
      <w:proofErr w:type="spellStart"/>
      <w:r w:rsidRPr="00F96978">
        <w:rPr>
          <w:rFonts w:asciiTheme="minorHAnsi" w:hAnsiTheme="minorHAnsi"/>
          <w:sz w:val="28"/>
          <w:szCs w:val="28"/>
        </w:rPr>
        <w:t>Аяно</w:t>
      </w:r>
      <w:proofErr w:type="spellEnd"/>
      <w:r w:rsidRPr="00F96978">
        <w:rPr>
          <w:rFonts w:asciiTheme="minorHAnsi" w:hAnsiTheme="minorHAnsi"/>
          <w:sz w:val="28"/>
          <w:szCs w:val="28"/>
        </w:rPr>
        <w:t xml:space="preserve">-Майский, имени Полины Осипенко, Николаевский, Охотский, </w:t>
      </w:r>
      <w:proofErr w:type="spellStart"/>
      <w:r w:rsidRPr="00F96978">
        <w:rPr>
          <w:rFonts w:asciiTheme="minorHAnsi" w:hAnsiTheme="minorHAnsi"/>
          <w:sz w:val="28"/>
          <w:szCs w:val="28"/>
        </w:rPr>
        <w:t>Тугуро-Чумиканский</w:t>
      </w:r>
      <w:proofErr w:type="spellEnd"/>
      <w:r w:rsidRPr="00F96978">
        <w:rPr>
          <w:rFonts w:asciiTheme="minorHAnsi" w:hAnsiTheme="minorHAnsi"/>
          <w:sz w:val="28"/>
          <w:szCs w:val="28"/>
        </w:rPr>
        <w:t xml:space="preserve">, </w:t>
      </w:r>
      <w:proofErr w:type="spellStart"/>
      <w:r w:rsidRPr="00F96978">
        <w:rPr>
          <w:rFonts w:asciiTheme="minorHAnsi" w:hAnsiTheme="minorHAnsi"/>
          <w:sz w:val="28"/>
          <w:szCs w:val="28"/>
        </w:rPr>
        <w:t>Ульчский</w:t>
      </w:r>
      <w:proofErr w:type="spellEnd"/>
      <w:r w:rsidRPr="00F96978">
        <w:rPr>
          <w:rFonts w:asciiTheme="minorHAnsi" w:hAnsiTheme="minorHAnsi"/>
          <w:sz w:val="28"/>
          <w:szCs w:val="28"/>
        </w:rPr>
        <w:t xml:space="preserve"> муниципальные районы - с коэффициентом дифференциации в значении 0,25.";</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6) в статье 11:</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пункт 2 части 1 признать утратившим силу;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б) абзац первый части 3 после слов "статьей 284.4" дополнить словами "части второй";</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7) в пункте 1 части 6 статьи 14:</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в абзаце первом слово "предоставления" заменить словом "представления", после слов "налоговая льгота</w:t>
      </w:r>
      <w:proofErr w:type="gramStart"/>
      <w:r w:rsidRPr="00F96978">
        <w:rPr>
          <w:rFonts w:asciiTheme="minorHAnsi" w:hAnsiTheme="minorHAnsi"/>
          <w:sz w:val="28"/>
          <w:szCs w:val="28"/>
        </w:rPr>
        <w:t>,"</w:t>
      </w:r>
      <w:proofErr w:type="gramEnd"/>
      <w:r w:rsidRPr="00F96978">
        <w:rPr>
          <w:rFonts w:asciiTheme="minorHAnsi" w:hAnsiTheme="minorHAnsi"/>
          <w:sz w:val="28"/>
          <w:szCs w:val="28"/>
        </w:rPr>
        <w:t xml:space="preserve"> дополнить словами "или не позднее 30 календарных дней со дня представления в налоговый орган </w:t>
      </w:r>
      <w:r w:rsidRPr="00F96978">
        <w:rPr>
          <w:rFonts w:asciiTheme="minorHAnsi" w:hAnsiTheme="minorHAnsi"/>
          <w:sz w:val="28"/>
          <w:szCs w:val="28"/>
        </w:rPr>
        <w:lastRenderedPageBreak/>
        <w:t>уточненной налоговой декларации по соответствующему налогу, представленной до момента, когда субъект инвестиционной деятельности узнал или должен был узнать о назначении выездной налоговой проверки,";</w:t>
      </w:r>
    </w:p>
    <w:p w:rsidR="00F96978" w:rsidRPr="00F96978" w:rsidRDefault="00F96978" w:rsidP="00F96978">
      <w:pPr>
        <w:pStyle w:val="ConsPlusNormal"/>
        <w:ind w:firstLine="540"/>
        <w:jc w:val="both"/>
        <w:rPr>
          <w:rFonts w:asciiTheme="minorHAnsi" w:hAnsiTheme="minorHAnsi"/>
          <w:sz w:val="28"/>
          <w:szCs w:val="28"/>
        </w:rPr>
      </w:pPr>
      <w:proofErr w:type="gramStart"/>
      <w:r w:rsidRPr="00F96978">
        <w:rPr>
          <w:rFonts w:asciiTheme="minorHAnsi" w:hAnsiTheme="minorHAnsi"/>
          <w:sz w:val="28"/>
          <w:szCs w:val="28"/>
        </w:rPr>
        <w:t>б) в подпункте "в" слова "краевого и межрегионального" заменить словами "межрегионального, краевого, муниципального", слова "в сфере охраны окружающей среды" заменить словами "в сферах жилищно-коммунального хозяйства, охраны окружающей среды";</w:t>
      </w:r>
      <w:proofErr w:type="gramEnd"/>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8) в пункте 2 части 1 статьи 14.1:</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в абзаце первом слово "предоставления" заменить словом "представления", после слов "налоговая льгота</w:t>
      </w:r>
      <w:proofErr w:type="gramStart"/>
      <w:r w:rsidRPr="00F96978">
        <w:rPr>
          <w:rFonts w:asciiTheme="minorHAnsi" w:hAnsiTheme="minorHAnsi"/>
          <w:sz w:val="28"/>
          <w:szCs w:val="28"/>
        </w:rPr>
        <w:t>,"</w:t>
      </w:r>
      <w:proofErr w:type="gramEnd"/>
      <w:r w:rsidRPr="00F96978">
        <w:rPr>
          <w:rFonts w:asciiTheme="minorHAnsi" w:hAnsiTheme="minorHAnsi"/>
          <w:sz w:val="28"/>
          <w:szCs w:val="28"/>
        </w:rPr>
        <w:t xml:space="preserve"> дополнить словами "или не позднее 30 календарных дней со дня представления в налоговый орган уточненной налоговой декларации по налогу на прибыль организаций, представленной до момента, когда участник консолидированной группы налогоплательщиков узнал или должен был узнать о назначении выездной налоговой проверки,";</w:t>
      </w:r>
    </w:p>
    <w:p w:rsidR="00F96978" w:rsidRPr="00F96978" w:rsidRDefault="00F96978" w:rsidP="00F96978">
      <w:pPr>
        <w:pStyle w:val="ConsPlusNormal"/>
        <w:ind w:firstLine="540"/>
        <w:jc w:val="both"/>
        <w:rPr>
          <w:rFonts w:asciiTheme="minorHAnsi" w:hAnsiTheme="minorHAnsi"/>
          <w:sz w:val="28"/>
          <w:szCs w:val="28"/>
        </w:rPr>
      </w:pPr>
      <w:proofErr w:type="gramStart"/>
      <w:r w:rsidRPr="00F96978">
        <w:rPr>
          <w:rFonts w:asciiTheme="minorHAnsi" w:hAnsiTheme="minorHAnsi"/>
          <w:sz w:val="28"/>
          <w:szCs w:val="28"/>
        </w:rPr>
        <w:t>б) в подпункте "в" слова "краевого и межрегионального" заменить словами "межрегионального, краевого, муниципального", слова "в сфере охраны окружающей среды" заменить словами "в сферах жилищно-коммунального хозяйства, охраны окружающей среды".</w:t>
      </w:r>
      <w:proofErr w:type="gramEnd"/>
    </w:p>
    <w:p w:rsidR="00F96978" w:rsidRPr="00F96978" w:rsidRDefault="00F96978"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Статья 2</w:t>
      </w:r>
    </w:p>
    <w:p w:rsidR="00F96978" w:rsidRPr="00F96978" w:rsidRDefault="00F96978" w:rsidP="00F96978">
      <w:pPr>
        <w:pStyle w:val="ConsPlusNormal"/>
        <w:ind w:firstLine="540"/>
        <w:jc w:val="both"/>
        <w:rPr>
          <w:rFonts w:asciiTheme="minorHAnsi" w:hAnsiTheme="minorHAnsi"/>
          <w:sz w:val="28"/>
          <w:szCs w:val="28"/>
        </w:rPr>
      </w:pPr>
      <w:proofErr w:type="gramStart"/>
      <w:r w:rsidRPr="00F96978">
        <w:rPr>
          <w:rFonts w:asciiTheme="minorHAnsi" w:hAnsiTheme="minorHAnsi"/>
          <w:sz w:val="28"/>
          <w:szCs w:val="28"/>
        </w:rPr>
        <w:t>Внести в статью 1 Закона Хабаровского края от 26 декабря 2007 года N 169 "Об установлении единых нормативов отчислений в бюджеты городских и сельских поселений, муниципальных районов и городских округов Хабаровского края от отдельных федеральных налогов и сборов, в том числе налогов, предусмотренных специальными налоговыми режимами, и региональных налогов, подлежащих зачислению в краевой бюджет" следующие изменения:</w:t>
      </w:r>
      <w:proofErr w:type="gramEnd"/>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пункт 2 части 1 после слова "налогообложения</w:t>
      </w:r>
      <w:proofErr w:type="gramStart"/>
      <w:r w:rsidRPr="00F96978">
        <w:rPr>
          <w:rFonts w:asciiTheme="minorHAnsi" w:hAnsiTheme="minorHAnsi"/>
          <w:sz w:val="28"/>
          <w:szCs w:val="28"/>
        </w:rPr>
        <w:t>,"</w:t>
      </w:r>
      <w:proofErr w:type="gramEnd"/>
      <w:r w:rsidRPr="00F96978">
        <w:rPr>
          <w:rFonts w:asciiTheme="minorHAnsi" w:hAnsiTheme="minorHAnsi"/>
          <w:sz w:val="28"/>
          <w:szCs w:val="28"/>
        </w:rPr>
        <w:t xml:space="preserve"> дополнить словами "в том числе минимального налога,";</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часть 2 изложить в следующей редакции:</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Установить, что в бюджеты муниципальных районов края зачисляются доходы от следующих налогов:</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транспортного налога, взимаемого на межселенных территориях, - по нормативу 50 процентов;</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налога, взимаемого в связи с применением упрощенной системы налогообложения, в том числе минимального налога:</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а) на межселенных территориях - по нормативу 30 процентов;</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б) на территории городских и сельских поселений, входящих в состав соответствующего муниципального района края, - по нормативу 3 процента</w:t>
      </w:r>
      <w:proofErr w:type="gramStart"/>
      <w:r w:rsidRPr="00F96978">
        <w:rPr>
          <w:rFonts w:asciiTheme="minorHAnsi" w:hAnsiTheme="minorHAnsi"/>
          <w:sz w:val="28"/>
          <w:szCs w:val="28"/>
        </w:rPr>
        <w:t>.";</w:t>
      </w:r>
      <w:proofErr w:type="gramEnd"/>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3) пункт 2 части 3 после слова "налогообложения</w:t>
      </w:r>
      <w:proofErr w:type="gramStart"/>
      <w:r w:rsidRPr="00F96978">
        <w:rPr>
          <w:rFonts w:asciiTheme="minorHAnsi" w:hAnsiTheme="minorHAnsi"/>
          <w:sz w:val="28"/>
          <w:szCs w:val="28"/>
        </w:rPr>
        <w:t>,"</w:t>
      </w:r>
      <w:proofErr w:type="gramEnd"/>
      <w:r w:rsidRPr="00F96978">
        <w:rPr>
          <w:rFonts w:asciiTheme="minorHAnsi" w:hAnsiTheme="minorHAnsi"/>
          <w:sz w:val="28"/>
          <w:szCs w:val="28"/>
        </w:rPr>
        <w:t xml:space="preserve"> дополнить словами "в том числе минимального налога,".</w:t>
      </w:r>
    </w:p>
    <w:p w:rsidR="00F96978" w:rsidRPr="00F96978" w:rsidRDefault="00F96978"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lastRenderedPageBreak/>
        <w:t>Статья 3</w:t>
      </w:r>
    </w:p>
    <w:p w:rsidR="00F96978" w:rsidRPr="00F96978" w:rsidRDefault="00F96978" w:rsidP="00F96978">
      <w:pPr>
        <w:pStyle w:val="ConsPlusNormal"/>
        <w:ind w:firstLine="540"/>
        <w:jc w:val="both"/>
        <w:rPr>
          <w:rFonts w:asciiTheme="minorHAnsi" w:hAnsiTheme="minorHAnsi"/>
          <w:sz w:val="28"/>
          <w:szCs w:val="28"/>
        </w:rPr>
      </w:pP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1. Настоящий закон вступает в силу с 1 января 2018 года, за исключением статьи 1 настоящего закона.</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2. Статья 1 настоящего закона вступает в силу с 1 января 2018 года, но не ранее чем по истечении одного месяца со дня официального опубликования настоящего закона и не ранее 1-го числа очередного налогового периода по соответствующему налогу.</w:t>
      </w:r>
    </w:p>
    <w:p w:rsidR="00F96978" w:rsidRPr="00F96978" w:rsidRDefault="00F96978" w:rsidP="00F96978">
      <w:pPr>
        <w:pStyle w:val="ConsPlusNormal"/>
        <w:ind w:firstLine="540"/>
        <w:jc w:val="both"/>
        <w:rPr>
          <w:rFonts w:asciiTheme="minorHAnsi" w:hAnsiTheme="minorHAnsi"/>
          <w:sz w:val="28"/>
          <w:szCs w:val="28"/>
        </w:rPr>
      </w:pPr>
      <w:r w:rsidRPr="00F96978">
        <w:rPr>
          <w:rFonts w:asciiTheme="minorHAnsi" w:hAnsiTheme="minorHAnsi"/>
          <w:sz w:val="28"/>
          <w:szCs w:val="28"/>
        </w:rPr>
        <w:t xml:space="preserve">3. </w:t>
      </w:r>
      <w:proofErr w:type="gramStart"/>
      <w:r w:rsidRPr="00F96978">
        <w:rPr>
          <w:rFonts w:asciiTheme="minorHAnsi" w:hAnsiTheme="minorHAnsi"/>
          <w:sz w:val="28"/>
          <w:szCs w:val="28"/>
        </w:rPr>
        <w:t>Положения Закона Хабаровского края от 26 декабря 2007 года N 169 "Об установлении единых нормативов отчислений в бюджеты городских и сельских поселений, муниципальных районов и городских округов Хабаровского края от отдельных федеральных налогов и сборов, в том числе налогов, предусмотренных специальными налоговыми режимами, и региональных налогов, подлежащих зачислению в краевой бюджет" (в редакции настоящего закона) применяются к правоотношениям, возникающим при</w:t>
      </w:r>
      <w:proofErr w:type="gramEnd"/>
      <w:r w:rsidRPr="00F96978">
        <w:rPr>
          <w:rFonts w:asciiTheme="minorHAnsi" w:hAnsiTheme="minorHAnsi"/>
          <w:sz w:val="28"/>
          <w:szCs w:val="28"/>
        </w:rPr>
        <w:t xml:space="preserve"> </w:t>
      </w:r>
      <w:proofErr w:type="gramStart"/>
      <w:r w:rsidRPr="00F96978">
        <w:rPr>
          <w:rFonts w:asciiTheme="minorHAnsi" w:hAnsiTheme="minorHAnsi"/>
          <w:sz w:val="28"/>
          <w:szCs w:val="28"/>
        </w:rPr>
        <w:t>составлении</w:t>
      </w:r>
      <w:proofErr w:type="gramEnd"/>
      <w:r w:rsidRPr="00F96978">
        <w:rPr>
          <w:rFonts w:asciiTheme="minorHAnsi" w:hAnsiTheme="minorHAnsi"/>
          <w:sz w:val="28"/>
          <w:szCs w:val="28"/>
        </w:rPr>
        <w:t xml:space="preserve"> краевого бюджета на 2018 год и на плановый период 2019 и 2020 годов.</w:t>
      </w:r>
    </w:p>
    <w:p w:rsidR="00F96978" w:rsidRDefault="00F96978" w:rsidP="00F96978">
      <w:pPr>
        <w:pStyle w:val="ConsPlusNormal"/>
        <w:ind w:firstLine="540"/>
        <w:jc w:val="right"/>
        <w:rPr>
          <w:rFonts w:asciiTheme="minorHAnsi" w:hAnsiTheme="minorHAnsi"/>
          <w:i/>
          <w:sz w:val="28"/>
          <w:szCs w:val="28"/>
        </w:rPr>
      </w:pPr>
    </w:p>
    <w:p w:rsidR="00F96978" w:rsidRDefault="00F96978" w:rsidP="00F96978">
      <w:pPr>
        <w:pStyle w:val="ConsPlusNormal"/>
        <w:ind w:firstLine="540"/>
        <w:jc w:val="right"/>
        <w:rPr>
          <w:rFonts w:asciiTheme="minorHAnsi" w:hAnsiTheme="minorHAnsi"/>
          <w:i/>
          <w:sz w:val="28"/>
          <w:szCs w:val="28"/>
        </w:rPr>
      </w:pPr>
    </w:p>
    <w:p w:rsidR="00F96978" w:rsidRDefault="00F96978" w:rsidP="00F96978">
      <w:pPr>
        <w:pStyle w:val="ConsPlusNormal"/>
        <w:ind w:firstLine="540"/>
        <w:jc w:val="right"/>
        <w:rPr>
          <w:rFonts w:asciiTheme="minorHAnsi" w:hAnsiTheme="minorHAnsi"/>
          <w:i/>
          <w:sz w:val="28"/>
          <w:szCs w:val="28"/>
        </w:rPr>
      </w:pPr>
      <w:bookmarkStart w:id="0" w:name="_GoBack"/>
      <w:bookmarkEnd w:id="0"/>
    </w:p>
    <w:p w:rsidR="00F96978" w:rsidRPr="00F96978" w:rsidRDefault="00F96978" w:rsidP="00F96978">
      <w:pPr>
        <w:pStyle w:val="ConsPlusNormal"/>
        <w:ind w:firstLine="540"/>
        <w:jc w:val="right"/>
        <w:rPr>
          <w:rFonts w:asciiTheme="minorHAnsi" w:hAnsiTheme="minorHAnsi"/>
          <w:i/>
          <w:sz w:val="28"/>
          <w:szCs w:val="28"/>
        </w:rPr>
      </w:pPr>
      <w:r w:rsidRPr="00F96978">
        <w:rPr>
          <w:rFonts w:asciiTheme="minorHAnsi" w:hAnsiTheme="minorHAnsi"/>
          <w:i/>
          <w:sz w:val="28"/>
          <w:szCs w:val="28"/>
        </w:rPr>
        <w:t>Председатель Законодательной Думы</w:t>
      </w:r>
    </w:p>
    <w:p w:rsidR="00F96978" w:rsidRPr="00F96978" w:rsidRDefault="00F96978" w:rsidP="00F96978">
      <w:pPr>
        <w:pStyle w:val="ConsPlusNormal"/>
        <w:ind w:firstLine="540"/>
        <w:jc w:val="right"/>
        <w:rPr>
          <w:rFonts w:asciiTheme="minorHAnsi" w:hAnsiTheme="minorHAnsi"/>
          <w:i/>
          <w:sz w:val="28"/>
          <w:szCs w:val="28"/>
        </w:rPr>
      </w:pPr>
      <w:r w:rsidRPr="00F96978">
        <w:rPr>
          <w:rFonts w:asciiTheme="minorHAnsi" w:hAnsiTheme="minorHAnsi"/>
          <w:i/>
          <w:sz w:val="28"/>
          <w:szCs w:val="28"/>
        </w:rPr>
        <w:t>Хабаровского края</w:t>
      </w:r>
    </w:p>
    <w:p w:rsidR="001D2A6D" w:rsidRPr="00F96978" w:rsidRDefault="00F96978" w:rsidP="00F96978">
      <w:pPr>
        <w:pStyle w:val="ConsPlusNormal"/>
        <w:ind w:firstLine="540"/>
        <w:jc w:val="right"/>
        <w:rPr>
          <w:rFonts w:asciiTheme="minorHAnsi" w:hAnsiTheme="minorHAnsi"/>
          <w:sz w:val="28"/>
          <w:szCs w:val="28"/>
        </w:rPr>
      </w:pPr>
      <w:proofErr w:type="spellStart"/>
      <w:r w:rsidRPr="00F96978">
        <w:rPr>
          <w:rFonts w:asciiTheme="minorHAnsi" w:hAnsiTheme="minorHAnsi"/>
          <w:i/>
          <w:sz w:val="28"/>
          <w:szCs w:val="28"/>
        </w:rPr>
        <w:t>С.Л.Луговской</w:t>
      </w:r>
      <w:proofErr w:type="spellEnd"/>
    </w:p>
    <w:sectPr w:rsidR="001D2A6D" w:rsidRPr="00F96978" w:rsidSect="00F9697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64"/>
    <w:rsid w:val="001D2A6D"/>
    <w:rsid w:val="00214847"/>
    <w:rsid w:val="006F278B"/>
    <w:rsid w:val="00A10864"/>
    <w:rsid w:val="00BD0EB4"/>
    <w:rsid w:val="00F9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86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1086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10864"/>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86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10864"/>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A10864"/>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Internet</cp:lastModifiedBy>
  <cp:revision>2</cp:revision>
  <dcterms:created xsi:type="dcterms:W3CDTF">2017-11-02T02:01:00Z</dcterms:created>
  <dcterms:modified xsi:type="dcterms:W3CDTF">2017-11-02T02:01:00Z</dcterms:modified>
</cp:coreProperties>
</file>