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6848"/>
        <w:gridCol w:w="2036"/>
        <w:gridCol w:w="2233"/>
        <w:gridCol w:w="2352"/>
      </w:tblGrid>
      <w:tr w:rsidR="004D2C3B" w:rsidRPr="004D2C3B" w:rsidTr="004D2C3B"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 </w:t>
            </w:r>
            <w:r w:rsidRPr="004D2C3B">
              <w:rPr>
                <w:rFonts w:ascii="Open Sans" w:eastAsia="Times New Roman" w:hAnsi="Open Sans" w:cs="Times New Roman"/>
                <w:b/>
                <w:bCs/>
                <w:color w:val="405965"/>
                <w:sz w:val="24"/>
                <w:szCs w:val="24"/>
                <w:lang w:eastAsia="ru-RU"/>
              </w:rPr>
              <w:t>№  </w:t>
            </w:r>
            <w:proofErr w:type="gramStart"/>
            <w:r w:rsidRPr="004D2C3B">
              <w:rPr>
                <w:rFonts w:ascii="Open Sans" w:eastAsia="Times New Roman" w:hAnsi="Open Sans" w:cs="Times New Roman"/>
                <w:b/>
                <w:bCs/>
                <w:color w:val="405965"/>
                <w:sz w:val="24"/>
                <w:szCs w:val="24"/>
                <w:lang w:eastAsia="ru-RU"/>
              </w:rPr>
              <w:t>п</w:t>
            </w:r>
            <w:proofErr w:type="gramEnd"/>
            <w:r w:rsidRPr="004D2C3B">
              <w:rPr>
                <w:rFonts w:ascii="Open Sans" w:eastAsia="Times New Roman" w:hAnsi="Open Sans" w:cs="Times New Roman"/>
                <w:b/>
                <w:bCs/>
                <w:color w:val="405965"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684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b/>
                <w:bCs/>
                <w:color w:val="40596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b/>
                <w:bCs/>
                <w:color w:val="405965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b/>
                <w:bCs/>
                <w:color w:val="405965"/>
                <w:sz w:val="24"/>
                <w:szCs w:val="24"/>
                <w:lang w:eastAsia="ru-RU"/>
              </w:rPr>
              <w:t>Время проведения мероприятия (местное) 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b/>
                <w:bCs/>
                <w:color w:val="405965"/>
                <w:sz w:val="24"/>
                <w:szCs w:val="24"/>
                <w:lang w:eastAsia="ru-RU"/>
              </w:rPr>
              <w:t> Место проведения мероприятия</w:t>
            </w:r>
          </w:p>
        </w:tc>
      </w:tr>
      <w:tr w:rsidR="004D2C3B" w:rsidRPr="004D2C3B" w:rsidTr="004D2C3B"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1. Основные изменения законодательства по налогу на доходы физических лиц и страховым взносам в 2020 году.</w:t>
            </w:r>
          </w:p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Особенности налогообложения доходов иностранных работников.</w:t>
            </w:r>
          </w:p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2. Имущественные налоги юридических лиц: актуальные вопросы. Основные изменения с 1 января 2020 года.​</w:t>
            </w:r>
          </w:p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3. Организация работы налоговых органов по принудительному взысканию задолженности.</w:t>
            </w:r>
          </w:p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4. Инициирование процедур банкротства налоговым органом. Согласительные процедуры, как способ выхода из банкротства.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 10.00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г. Благовещенск, </w:t>
            </w: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br/>
              <w:t>улица Ленина, дом 139 </w:t>
            </w: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br/>
              <w:t>"Точка кипения" </w:t>
            </w:r>
          </w:p>
        </w:tc>
      </w:tr>
      <w:tr w:rsidR="004D2C3B" w:rsidRPr="004D2C3B" w:rsidTr="004D2C3B"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1. Актуальные вопросы ведения Единого реестра субъектов малого и среднего предпринимательства. Возможности и преимущества.</w:t>
            </w:r>
          </w:p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2.Недостоверность сведений в ЕГРЮЛ: причины,</w:t>
            </w:r>
            <w:r w:rsidR="00AA2464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последствия.</w:t>
            </w:r>
          </w:p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3. Вопросы налогообложения малого бизнеса с учетом изменений налогового законодательства в 2020 году.</w:t>
            </w:r>
          </w:p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4. Особенности применения контрольно-кассовой техники при осуществлении предпринимательской деятельности.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г. Благовещенск,</w:t>
            </w: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br/>
              <w:t>улица Ленина, дом 139</w:t>
            </w: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br/>
              <w:t>"Точка кипения"</w:t>
            </w:r>
          </w:p>
        </w:tc>
      </w:tr>
      <w:tr w:rsidR="004D2C3B" w:rsidRPr="004D2C3B" w:rsidTr="004D2C3B"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1.Риск – ориентированный подход в налоговом администрировании при выборе объектов для назначения выездных налоговых проверок. Выездная налоговая проверка, как крайняя мера налогового контроля.</w:t>
            </w:r>
          </w:p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2. Обзор судебной (досудебной) практики по налоговым спорам.  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г. Благовещенск, </w:t>
            </w: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br/>
              <w:t>улица Ленина, дом 139 </w:t>
            </w: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br/>
              <w:t>"Точка кипения"</w:t>
            </w:r>
          </w:p>
        </w:tc>
      </w:tr>
      <w:tr w:rsidR="004D2C3B" w:rsidRPr="004D2C3B" w:rsidTr="004D2C3B">
        <w:tc>
          <w:tcPr>
            <w:tcW w:w="0" w:type="auto"/>
            <w:shd w:val="clear" w:color="auto" w:fill="auto"/>
            <w:vAlign w:val="center"/>
            <w:hideMark/>
          </w:tcPr>
          <w:p w:rsidR="004D2C3B" w:rsidRPr="004D2C3B" w:rsidRDefault="004D2C3B" w:rsidP="004D2C3B">
            <w:pPr>
              <w:spacing w:after="0" w:line="240" w:lineRule="auto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</w:p>
        </w:tc>
        <w:tc>
          <w:tcPr>
            <w:tcW w:w="6848" w:type="dxa"/>
            <w:shd w:val="clear" w:color="auto" w:fill="auto"/>
            <w:vAlign w:val="center"/>
            <w:hideMark/>
          </w:tcPr>
          <w:p w:rsidR="004D2C3B" w:rsidRPr="004D2C3B" w:rsidRDefault="004D2C3B" w:rsidP="004D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2C3B" w:rsidRPr="004D2C3B" w:rsidRDefault="004D2C3B" w:rsidP="004D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2C3B" w:rsidRPr="004D2C3B" w:rsidRDefault="004D2C3B" w:rsidP="004D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2C3B" w:rsidRPr="004D2C3B" w:rsidRDefault="004D2C3B" w:rsidP="004D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3B" w:rsidRPr="004D2C3B" w:rsidTr="004D2C3B"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8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1. Вопросы налогообложения малого бизнеса с учетом изменения налогового законодательства в 2021 году.</w:t>
            </w:r>
          </w:p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2. Актуальные вопросы соблюдения обязательных требований при переходе на новый порядок применения ККТ: 4 этап реформы. 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2C3B" w:rsidRPr="004D2C3B" w:rsidRDefault="004D2C3B" w:rsidP="004D2C3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</w:pP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t>г. Благовещенск, </w:t>
            </w: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br/>
              <w:t>улица Ленина, дом 139 </w:t>
            </w:r>
            <w:r w:rsidRPr="004D2C3B">
              <w:rPr>
                <w:rFonts w:ascii="Open Sans" w:eastAsia="Times New Roman" w:hAnsi="Open Sans" w:cs="Times New Roman"/>
                <w:color w:val="405965"/>
                <w:sz w:val="24"/>
                <w:szCs w:val="24"/>
                <w:lang w:eastAsia="ru-RU"/>
              </w:rPr>
              <w:br/>
              <w:t>"Точка кипения"</w:t>
            </w:r>
          </w:p>
        </w:tc>
      </w:tr>
    </w:tbl>
    <w:p w:rsidR="00724D1B" w:rsidRDefault="00AA2464"/>
    <w:sectPr w:rsidR="00724D1B" w:rsidSect="0075101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11"/>
    <w:rsid w:val="002879DE"/>
    <w:rsid w:val="004D2C3B"/>
    <w:rsid w:val="00751011"/>
    <w:rsid w:val="00AA2464"/>
    <w:rsid w:val="00F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1Internet</dc:creator>
  <cp:lastModifiedBy>1Internet</cp:lastModifiedBy>
  <cp:revision>3</cp:revision>
  <dcterms:created xsi:type="dcterms:W3CDTF">2021-12-17T03:34:00Z</dcterms:created>
  <dcterms:modified xsi:type="dcterms:W3CDTF">2021-12-17T03:35:00Z</dcterms:modified>
</cp:coreProperties>
</file>