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681"/>
        <w:gridCol w:w="2070"/>
        <w:gridCol w:w="1911"/>
        <w:gridCol w:w="2348"/>
      </w:tblGrid>
      <w:tr w:rsidR="00D80B94" w:rsidRPr="00D80B94" w:rsidTr="00D80B94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 </w:t>
            </w:r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№  </w:t>
            </w:r>
            <w:proofErr w:type="gramStart"/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п</w:t>
            </w:r>
            <w:proofErr w:type="gramEnd"/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368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91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Время проведения мероприятия (местное) </w:t>
            </w:r>
          </w:p>
        </w:tc>
        <w:tc>
          <w:tcPr>
            <w:tcW w:w="23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bCs/>
                <w:color w:val="405965"/>
                <w:sz w:val="24"/>
                <w:szCs w:val="24"/>
                <w:lang w:eastAsia="ru-RU"/>
              </w:rPr>
              <w:t> Место проведения мероприятия</w:t>
            </w:r>
          </w:p>
        </w:tc>
      </w:tr>
      <w:tr w:rsidR="00D80B94" w:rsidRPr="00D80B94" w:rsidTr="00D80B94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Администрирование налога на доходы физических лиц и его значение в формировании доходной </w:t>
            </w:r>
            <w:proofErr w:type="gramStart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части консолидированного бюджета Амурской области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Особенности применения норм налогового</w:t>
            </w:r>
            <w:proofErr w:type="gramEnd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 законодательства, касающихся реализации лома и отходов черных и цветных металлов 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91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 10.00</w:t>
            </w:r>
          </w:p>
        </w:tc>
        <w:tc>
          <w:tcPr>
            <w:tcW w:w="23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г. Благовещенск,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улица Красноармейская, дом 122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Актовый зал Межрайонной ИФНС России №1 по Амурской области</w:t>
            </w:r>
          </w:p>
        </w:tc>
      </w:tr>
      <w:tr w:rsidR="00D80B94" w:rsidRPr="00D80B94" w:rsidTr="00D80B94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proofErr w:type="gramStart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Результаты работы налоговых органов по расширению спектра сервисных услуг и повышению качества обслуживания налогоплательщиков: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- электронные сервисы ФНС России, упрощающие ведение бизнеса и соблюдение налоговых обязательств, услуги ФНС России по принципу «одно окно» в отделениях МФЦ области;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 xml:space="preserve">- внедрение механизмов оценки гражданами качества предоставления </w:t>
            </w:r>
            <w:proofErr w:type="spellStart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 ФНС России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Оптимизация процедур, связанных с регистрацией юридических лиц и индивидуальных предпринимателей: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- совершенствование процедур государственной регистрации;</w:t>
            </w:r>
            <w:proofErr w:type="gramEnd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- обеспечение достоверности сведений Единого государственного реестр</w:t>
            </w:r>
            <w:bookmarkStart w:id="0" w:name="_GoBack"/>
            <w:bookmarkEnd w:id="0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а юридических лиц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91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г. Благовещенск,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улица Красноармейская, дом 122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Актовый зал Межрайонной ИФНС России №1 по Амурской области</w:t>
            </w:r>
          </w:p>
        </w:tc>
      </w:tr>
      <w:tr w:rsidR="00D80B94" w:rsidRPr="00D80B94" w:rsidTr="00D80B94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proofErr w:type="gramStart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Риск-ориентированный</w:t>
            </w:r>
            <w:proofErr w:type="gramEnd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 подход в налоговом администрировании, результаты налоговых проверок, в том числе камеральных по НДС с использованием автоматизированной системы контроля (АСК НДС-2).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Актуальные вопросы и итоги досудебного урегулирования налоговых споров.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</w:r>
            <w:proofErr w:type="gramStart"/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Взыскание задолженности по обязательным платежам в бюджет с контролирующих должника лиц и конечных бенефициаров посредством механизмов, предусмотренных Налоговым кодексом Российской Федерации и Федеральным законом от 26.10.2002 №127-ФЗ «О несостоятельности (банкротстве)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911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80B94" w:rsidRPr="00D80B94" w:rsidRDefault="00D80B94" w:rsidP="00D80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г. Благовещенск,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улица Красноармейская, дом 122</w:t>
            </w:r>
            <w:r w:rsidRPr="00D80B94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br/>
              <w:t>Актовый зал Межрайонной ИФНС России №1 по Амурской области</w:t>
            </w:r>
          </w:p>
        </w:tc>
      </w:tr>
    </w:tbl>
    <w:p w:rsidR="00724D1B" w:rsidRDefault="00D80B94"/>
    <w:sectPr w:rsidR="007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4"/>
    <w:rsid w:val="002879DE"/>
    <w:rsid w:val="00D80B94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</dc:creator>
  <cp:lastModifiedBy>1Internet</cp:lastModifiedBy>
  <cp:revision>1</cp:revision>
  <dcterms:created xsi:type="dcterms:W3CDTF">2022-01-24T02:24:00Z</dcterms:created>
  <dcterms:modified xsi:type="dcterms:W3CDTF">2022-01-24T02:26:00Z</dcterms:modified>
</cp:coreProperties>
</file>