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 w:rsidR="00C33AEA">
        <w:trPr>
          <w:trHeight w:hRule="exact" w:val="2035"/>
        </w:trPr>
        <w:tc>
          <w:tcPr>
            <w:tcW w:w="10717" w:type="dxa"/>
            <w:gridSpan w:val="13"/>
          </w:tcPr>
          <w:p w:rsidR="00C33AEA" w:rsidRDefault="00C33AEA"/>
        </w:tc>
      </w:tr>
      <w:tr w:rsidR="00C33AEA">
        <w:trPr>
          <w:trHeight w:hRule="exact" w:val="444"/>
        </w:trPr>
        <w:tc>
          <w:tcPr>
            <w:tcW w:w="903" w:type="dxa"/>
          </w:tcPr>
          <w:p w:rsidR="00C33AEA" w:rsidRDefault="00C33AEA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558" w:type="dxa"/>
          </w:tcPr>
          <w:p w:rsidR="00C33AEA" w:rsidRDefault="00C33AEA"/>
        </w:tc>
      </w:tr>
      <w:tr w:rsidR="00C33AEA">
        <w:trPr>
          <w:trHeight w:hRule="exact" w:val="673"/>
        </w:trPr>
        <w:tc>
          <w:tcPr>
            <w:tcW w:w="903" w:type="dxa"/>
          </w:tcPr>
          <w:p w:rsidR="00C33AEA" w:rsidRDefault="00C33AEA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C33AEA" w:rsidRDefault="00C33AEA"/>
        </w:tc>
        <w:tc>
          <w:tcPr>
            <w:tcW w:w="558" w:type="dxa"/>
          </w:tcPr>
          <w:p w:rsidR="00C33AEA" w:rsidRDefault="00C33AEA"/>
        </w:tc>
      </w:tr>
      <w:tr w:rsidR="00C33AEA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01.11.2021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444"/>
        </w:trPr>
        <w:tc>
          <w:tcPr>
            <w:tcW w:w="903" w:type="dxa"/>
          </w:tcPr>
          <w:p w:rsidR="00C33AEA" w:rsidRDefault="00C33AEA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C33AEA" w:rsidRDefault="00C33AEA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C33AEA" w:rsidRDefault="00C33AEA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C33AEA" w:rsidRDefault="00C33AEA"/>
        </w:tc>
        <w:tc>
          <w:tcPr>
            <w:tcW w:w="558" w:type="dxa"/>
          </w:tcPr>
          <w:p w:rsidR="00C33AEA" w:rsidRDefault="00C33AEA"/>
        </w:tc>
      </w:tr>
      <w:tr w:rsidR="00C33AEA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33AEA" w:rsidRDefault="00C33AEA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33AEA" w:rsidRDefault="00D913C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доранее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доранее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01.02.2021 – 01.03.2021;</w:t>
            </w: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01.05.2021 – 31.05.2021;</w:t>
            </w: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по состоянию на 01.08.2021 – 28.08.2021;                                          по состоянию на 01.11.2021 – 29.11.2021;                                          по состоянию на 01.01.2022 – 08.02.2022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33AEA" w:rsidRDefault="00C33AEA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C33AEA" w:rsidRDefault="00C33AE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Утверждена приказом  ФНС России </w:t>
            </w: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30.12.2020</w:t>
            </w: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№ ВД-7-1/986@ </w:t>
            </w:r>
          </w:p>
          <w:p w:rsidR="00C33AEA" w:rsidRDefault="00C33AE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33AEA" w:rsidRDefault="00C33AE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3AEA" w:rsidRDefault="00C33AEA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3AEA" w:rsidRDefault="00C33AEA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33AEA" w:rsidRDefault="00C33AEA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3AEA" w:rsidRDefault="00C33AEA"/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115"/>
        </w:trPr>
        <w:tc>
          <w:tcPr>
            <w:tcW w:w="903" w:type="dxa"/>
          </w:tcPr>
          <w:p w:rsidR="00C33AEA" w:rsidRDefault="00C33AEA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C33AEA" w:rsidRDefault="00C33AEA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3AEA" w:rsidRDefault="00C33AEA"/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229"/>
        </w:trPr>
        <w:tc>
          <w:tcPr>
            <w:tcW w:w="903" w:type="dxa"/>
          </w:tcPr>
          <w:p w:rsidR="00C33AEA" w:rsidRDefault="00C33AEA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C33AEA" w:rsidRDefault="00C33AEA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C33AEA" w:rsidRDefault="00C33AEA"/>
        </w:tc>
        <w:tc>
          <w:tcPr>
            <w:tcW w:w="558" w:type="dxa"/>
          </w:tcPr>
          <w:p w:rsidR="00C33AEA" w:rsidRDefault="00C33AEA"/>
        </w:tc>
      </w:tr>
      <w:tr w:rsidR="00C33AEA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33AEA" w:rsidRDefault="00C33AE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33AEA" w:rsidRDefault="00C33AE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Амурская область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C33AEA" w:rsidRDefault="00C33AEA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33AEA" w:rsidRDefault="00C33AE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2800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33AEA" w:rsidRDefault="00C33AE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УФНС России по Амурской области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33AEA" w:rsidRDefault="00C33AEA"/>
        </w:tc>
      </w:tr>
      <w:tr w:rsidR="00C33AEA">
        <w:trPr>
          <w:trHeight w:hRule="exact" w:val="115"/>
        </w:trPr>
        <w:tc>
          <w:tcPr>
            <w:tcW w:w="903" w:type="dxa"/>
          </w:tcPr>
          <w:p w:rsidR="00C33AEA" w:rsidRDefault="00C33AEA"/>
        </w:tc>
        <w:tc>
          <w:tcPr>
            <w:tcW w:w="9256" w:type="dxa"/>
            <w:gridSpan w:val="11"/>
            <w:tcBorders>
              <w:top w:val="single" w:sz="5" w:space="0" w:color="000000"/>
            </w:tcBorders>
          </w:tcPr>
          <w:p w:rsidR="00C33AEA" w:rsidRDefault="00C33AEA"/>
        </w:tc>
        <w:tc>
          <w:tcPr>
            <w:tcW w:w="558" w:type="dxa"/>
          </w:tcPr>
          <w:p w:rsidR="00C33AEA" w:rsidRDefault="00C33AEA"/>
        </w:tc>
      </w:tr>
      <w:tr w:rsidR="00C33AEA">
        <w:trPr>
          <w:trHeight w:hRule="exact" w:val="444"/>
        </w:trPr>
        <w:tc>
          <w:tcPr>
            <w:tcW w:w="903" w:type="dxa"/>
          </w:tcPr>
          <w:p w:rsidR="00C33AEA" w:rsidRDefault="00C33AEA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</w:tcPr>
          <w:p w:rsidR="00C33AEA" w:rsidRDefault="00C33AEA"/>
        </w:tc>
      </w:tr>
    </w:tbl>
    <w:p w:rsidR="00C33AEA" w:rsidRDefault="00C33AEA">
      <w:pPr>
        <w:sectPr w:rsidR="00C33AEA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 w:rsidR="00C33AEA"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C33AEA"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 w:rsidR="00C33AEA" w:rsidRDefault="00C33AEA"/>
        </w:tc>
      </w:tr>
      <w:tr w:rsidR="00C33AEA">
        <w:trPr>
          <w:trHeight w:hRule="exact" w:val="1476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кв.2020 г.– I-III кв. 2021 г.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кв.2020 г.– I-III кв. 2021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C33AEA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C33AE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C33AE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112 004 222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111 891 737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108 353 790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108 241 453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8 389</w:t>
            </w:r>
          </w:p>
        </w:tc>
      </w:tr>
      <w:tr w:rsidR="00C33AE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33AE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9 814 844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9 788 714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97 887 143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1 786</w:t>
            </w:r>
          </w:p>
        </w:tc>
      </w:tr>
      <w:tr w:rsidR="00C33AE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142 231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142 231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1 564 536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</w:tr>
      <w:tr w:rsidR="00C33AE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36 960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63 408 657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63 373 494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316 869 843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7 769</w:t>
            </w:r>
          </w:p>
        </w:tc>
      </w:tr>
      <w:tr w:rsidR="00C33AEA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237 371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237 114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1 419 718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</w:t>
            </w:r>
          </w:p>
        </w:tc>
      </w:tr>
      <w:tr w:rsidR="00C33AEA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7 225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C33AEA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669 620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669 440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3 347 199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</w:tr>
      <w:tr w:rsidR="00C33AEA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15 641 085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15 648 194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98 499 273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3 219</w:t>
            </w:r>
          </w:p>
        </w:tc>
      </w:tr>
      <w:tr w:rsidR="00C33AE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18 190 251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18 159 401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1 468</w:t>
            </w:r>
          </w:p>
        </w:tc>
      </w:tr>
      <w:tr w:rsidR="00C33AEA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C33AEA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18 402 017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18 374 012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2 240</w:t>
            </w:r>
          </w:p>
        </w:tc>
      </w:tr>
      <w:tr w:rsidR="00C33AE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3 650 348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3 650 200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1 260</w:t>
            </w:r>
          </w:p>
        </w:tc>
      </w:tr>
      <w:tr w:rsidR="00C33AEA"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C33AEA" w:rsidRDefault="00C33AEA"/>
        </w:tc>
      </w:tr>
      <w:tr w:rsidR="00C33AE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в том числе 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33AEA">
        <w:trPr>
          <w:trHeight w:hRule="exact" w:val="143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1 357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1 374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C33AE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C33AE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C33AEA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C33AE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162 146 454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162 094 493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155 940 382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155 895 262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7 913</w:t>
            </w:r>
          </w:p>
        </w:tc>
      </w:tr>
      <w:tr w:rsidR="00C33AEA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33AE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113 326 279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113 555 715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7 785</w:t>
            </w:r>
          </w:p>
        </w:tc>
      </w:tr>
      <w:tr w:rsidR="00C33AEA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3 479 617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3 479 203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</w:t>
            </w:r>
          </w:p>
        </w:tc>
      </w:tr>
      <w:tr w:rsidR="00C33AE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50 976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50 740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</w:t>
            </w:r>
          </w:p>
        </w:tc>
      </w:tr>
      <w:tr w:rsidR="00C33AEA">
        <w:trPr>
          <w:trHeight w:hRule="exact" w:val="101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22 370 476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22 139 914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1 363</w:t>
            </w:r>
          </w:p>
        </w:tc>
      </w:tr>
      <w:tr w:rsidR="00C33AE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668 939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668 759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</w:tr>
      <w:tr w:rsidR="00C33AEA"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C33AEA" w:rsidRDefault="00C33AEA"/>
        </w:tc>
      </w:tr>
      <w:tr w:rsidR="00C33AE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12 478 464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12 435 520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2 921</w:t>
            </w:r>
          </w:p>
        </w:tc>
      </w:tr>
      <w:tr w:rsidR="00C33AE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3 565 589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3 565 368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</w:tr>
      <w:tr w:rsidR="00C33AE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C33AE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47 176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47 176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C33AEA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6 158 896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6 152 055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</w:t>
            </w:r>
          </w:p>
        </w:tc>
      </w:tr>
      <w:tr w:rsidR="00C33AEA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20 777 341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20 618 176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8 777</w:t>
            </w:r>
          </w:p>
        </w:tc>
      </w:tr>
      <w:tr w:rsidR="00C33AEA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70 559 119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70 764 659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850</w:t>
            </w:r>
          </w:p>
        </w:tc>
      </w:tr>
      <w:tr w:rsidR="00C33AE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33AE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43 028 762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43 027 441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</w:tr>
      <w:tr w:rsidR="00C33AEA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79 247 349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965 152 441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964 673 063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598 842 286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57 219</w:t>
            </w:r>
          </w:p>
        </w:tc>
      </w:tr>
      <w:tr w:rsidR="00C33AEA">
        <w:trPr>
          <w:trHeight w:hRule="exact" w:val="445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 w:rsidR="00C33AEA" w:rsidRDefault="00C33AEA"/>
        </w:tc>
      </w:tr>
      <w:tr w:rsidR="00C33AEA">
        <w:trPr>
          <w:trHeight w:hRule="exact" w:val="343"/>
        </w:trPr>
        <w:tc>
          <w:tcPr>
            <w:tcW w:w="788" w:type="dxa"/>
          </w:tcPr>
          <w:p w:rsidR="00C33AEA" w:rsidRDefault="00C33AEA">
            <w:bookmarkStart w:id="0" w:name="_GoBack"/>
            <w:bookmarkEnd w:id="0"/>
          </w:p>
        </w:tc>
        <w:tc>
          <w:tcPr>
            <w:tcW w:w="788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33AEA" w:rsidRDefault="00C33AEA" w:rsidP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5" w:type="dxa"/>
          </w:tcPr>
          <w:p w:rsidR="00C33AEA" w:rsidRDefault="00C33AEA"/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C33AEA" w:rsidRDefault="00C33AEA"/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33AEA" w:rsidRDefault="00C33AEA" w:rsidP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29" w:type="dxa"/>
          </w:tcPr>
          <w:p w:rsidR="00C33AEA" w:rsidRDefault="00C33AEA"/>
        </w:tc>
        <w:tc>
          <w:tcPr>
            <w:tcW w:w="3281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33AEA" w:rsidRDefault="00C33AE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C33AEA" w:rsidRDefault="00C33AEA"/>
        </w:tc>
        <w:tc>
          <w:tcPr>
            <w:tcW w:w="5316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 w:rsidP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gridSpan w:val="2"/>
          </w:tcPr>
          <w:p w:rsidR="00C33AEA" w:rsidRDefault="00C33AEA"/>
        </w:tc>
      </w:tr>
      <w:tr w:rsidR="00C33AEA" w:rsidTr="00D913CD">
        <w:trPr>
          <w:trHeight w:hRule="exact" w:val="658"/>
        </w:trPr>
        <w:tc>
          <w:tcPr>
            <w:tcW w:w="1691" w:type="dxa"/>
            <w:gridSpan w:val="4"/>
          </w:tcPr>
          <w:p w:rsidR="00C33AEA" w:rsidRDefault="00C33AEA"/>
        </w:tc>
        <w:tc>
          <w:tcPr>
            <w:tcW w:w="1361" w:type="dxa"/>
            <w:tcBorders>
              <w:top w:val="single" w:sz="5" w:space="0" w:color="000000"/>
            </w:tcBorders>
          </w:tcPr>
          <w:p w:rsidR="00C33AEA" w:rsidRDefault="00C33AEA"/>
        </w:tc>
        <w:tc>
          <w:tcPr>
            <w:tcW w:w="4613" w:type="dxa"/>
            <w:gridSpan w:val="6"/>
          </w:tcPr>
          <w:p w:rsidR="00C33AEA" w:rsidRDefault="00C33AEA"/>
        </w:tc>
        <w:tc>
          <w:tcPr>
            <w:tcW w:w="5316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651" w:type="dxa"/>
            <w:gridSpan w:val="2"/>
          </w:tcPr>
          <w:p w:rsidR="00C33AEA" w:rsidRDefault="00C33AEA"/>
        </w:tc>
      </w:tr>
      <w:tr w:rsidR="00C33AEA" w:rsidTr="00D913CD">
        <w:trPr>
          <w:trHeight w:hRule="exact" w:val="556"/>
        </w:trPr>
        <w:tc>
          <w:tcPr>
            <w:tcW w:w="1017" w:type="dxa"/>
            <w:gridSpan w:val="2"/>
          </w:tcPr>
          <w:p w:rsidR="00C33AEA" w:rsidRDefault="00C33AEA"/>
        </w:tc>
        <w:tc>
          <w:tcPr>
            <w:tcW w:w="6204" w:type="dxa"/>
            <w:gridSpan w:val="7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411" w:type="dxa"/>
            <w:gridSpan w:val="8"/>
          </w:tcPr>
          <w:p w:rsidR="00C33AEA" w:rsidRDefault="00C33AEA"/>
        </w:tc>
      </w:tr>
      <w:tr w:rsidR="00C33AEA" w:rsidTr="00D913CD">
        <w:trPr>
          <w:trHeight w:hRule="exact" w:val="576"/>
        </w:trPr>
        <w:tc>
          <w:tcPr>
            <w:tcW w:w="1017" w:type="dxa"/>
            <w:gridSpan w:val="2"/>
          </w:tcPr>
          <w:p w:rsidR="00C33AEA" w:rsidRDefault="00C33AEA"/>
        </w:tc>
        <w:tc>
          <w:tcPr>
            <w:tcW w:w="6204" w:type="dxa"/>
            <w:gridSpan w:val="7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411" w:type="dxa"/>
            <w:gridSpan w:val="8"/>
          </w:tcPr>
          <w:p w:rsidR="00C33AEA" w:rsidRDefault="00C33AEA"/>
        </w:tc>
      </w:tr>
    </w:tbl>
    <w:p w:rsidR="00C33AEA" w:rsidRDefault="00C33AEA">
      <w:pPr>
        <w:sectPr w:rsidR="00C33AEA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 w:rsidR="00C33AEA">
        <w:trPr>
          <w:trHeight w:hRule="exact" w:val="115"/>
        </w:trPr>
        <w:tc>
          <w:tcPr>
            <w:tcW w:w="15632" w:type="dxa"/>
            <w:gridSpan w:val="11"/>
          </w:tcPr>
          <w:p w:rsidR="00C33AEA" w:rsidRDefault="00C33AEA"/>
        </w:tc>
      </w:tr>
      <w:tr w:rsidR="00C33AEA">
        <w:trPr>
          <w:trHeight w:hRule="exact" w:val="329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</w:tc>
      </w:tr>
      <w:tr w:rsidR="00C33AEA">
        <w:trPr>
          <w:trHeight w:hRule="exact" w:val="115"/>
        </w:trPr>
        <w:tc>
          <w:tcPr>
            <w:tcW w:w="15632" w:type="dxa"/>
            <w:gridSpan w:val="11"/>
          </w:tcPr>
          <w:p w:rsidR="00C33AEA" w:rsidRDefault="00C33AEA"/>
        </w:tc>
      </w:tr>
      <w:tr w:rsidR="00C33AEA">
        <w:trPr>
          <w:trHeight w:hRule="exact" w:val="1246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C33AEA"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C33AEA"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 w:rsidR="00C33AEA" w:rsidRDefault="00C33AEA"/>
        </w:tc>
      </w:tr>
      <w:tr w:rsidR="00C33AEA">
        <w:trPr>
          <w:trHeight w:hRule="exact" w:val="1805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01.01.2022)</w:t>
            </w:r>
          </w:p>
        </w:tc>
      </w:tr>
      <w:tr w:rsidR="00C33AEA">
        <w:trPr>
          <w:trHeight w:hRule="exact" w:val="1806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  <w:tc>
          <w:tcPr>
            <w:tcW w:w="141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C33AEA"/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C33AEA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11 570 948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2 314 189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1 796 740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359 347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73 579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1 881 263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443 929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88 786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295 302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59 060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27 178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5 031 783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1 006 357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466 276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93 255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8 641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904 461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253 421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50 684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134 867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26 973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23 711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219 167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43 833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11 680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27 535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110 133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22 027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24 985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96 218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19 244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22 979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14 648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144 576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28 915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14 124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256 957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51 391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43 325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1 060 145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212 029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91 667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18 333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17 727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175 969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91 846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18 369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18 369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385 473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77 095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75 996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37 771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21 222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6 316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347 836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69 567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193 286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38 657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29 594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17 836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18 023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17 680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3 536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64 846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12 969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12 918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4 391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2 008 615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401 723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461 430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92 286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300 456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9 396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48 762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9 752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187 966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37 593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35 782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7 156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18 623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8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Операции, не подлежащие налогообложению (освобождаемые от налогообложения), не указанные в строках 4020 –4593, 4610 – 4710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620 068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124 014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119 975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66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539 121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107 824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69 571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13 913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92 373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36 055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466 534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93 307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59 956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11 991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79 795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12 730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19 212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2321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12 110 069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2 422 013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1 866 311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373 260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75 117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1 973 636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5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2 963 416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592 684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13 294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575 113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647 718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129 544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126 540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5 098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946 851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189 370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187 295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134 634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26 927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59 280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11 856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14 789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28 210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342 584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68 517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68 179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5010-5196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857 717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171 543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171 527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21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2 963 416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C33AEA" w:rsidRDefault="00C33AEA">
      <w:pPr>
        <w:sectPr w:rsidR="00C33AEA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346"/>
        <w:gridCol w:w="1362"/>
        <w:gridCol w:w="1576"/>
        <w:gridCol w:w="1461"/>
        <w:gridCol w:w="1476"/>
        <w:gridCol w:w="1461"/>
      </w:tblGrid>
      <w:tr w:rsidR="00C33AEA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C33AEA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C33AEA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C33AEA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33AEA" w:rsidRDefault="00C33AEA"/>
        </w:tc>
      </w:tr>
      <w:tr w:rsidR="00C33AEA">
        <w:trPr>
          <w:trHeight w:hRule="exact" w:val="1648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01.01.2022</w:t>
            </w:r>
          </w:p>
        </w:tc>
      </w:tr>
      <w:tr w:rsidR="00C33AEA">
        <w:trPr>
          <w:trHeight w:hRule="exact" w:val="1633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</w:tr>
      <w:tr w:rsidR="00C33AEA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1 203 934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6 863 580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14 633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1 400 517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93 351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57 206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33AEA" w:rsidRDefault="00C33AEA"/>
        </w:tc>
      </w:tr>
      <w:tr w:rsidR="00C33AEA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38 469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123 209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80 509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33AEA" w:rsidRDefault="00C33AEA"/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69 462 423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5 971 129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30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154.10, 166.4, 4, 11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1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33AEA" w:rsidRDefault="00C33AEA"/>
        </w:tc>
      </w:tr>
      <w:tr w:rsidR="00C33AEA">
        <w:trPr>
          <w:trHeight w:hRule="exact" w:val="1290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146.1, 154.10, 166.4, 4, 11 П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28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28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30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33AEA" w:rsidRDefault="00C33AEA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29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9 960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19 157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33AEA">
        <w:trPr>
          <w:trHeight w:hRule="exact" w:val="130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C33AE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79 247 349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6 114 913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33AEA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158 494 698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12 229 826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33AEA" w:rsidRDefault="00D913C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DA4450" w:rsidRDefault="00DA4450"/>
    <w:sectPr w:rsidR="00DA4450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C33AEA"/>
    <w:rsid w:val="006F1036"/>
    <w:rsid w:val="00C33AEA"/>
    <w:rsid w:val="00D913CD"/>
    <w:rsid w:val="00D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6970-49A6-4C56-A638-6850E15F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3109</Words>
  <Characters>17722</Characters>
  <Application>Microsoft Office Word</Application>
  <DocSecurity>0</DocSecurity>
  <Lines>147</Lines>
  <Paragraphs>41</Paragraphs>
  <ScaleCrop>false</ScaleCrop>
  <Company>Stimulsoft Reports 2019.3.3 from 20 July 2019</Company>
  <LinksUpToDate>false</LinksUpToDate>
  <CharactersWithSpaces>20790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1Internet</cp:lastModifiedBy>
  <cp:revision>3</cp:revision>
  <cp:lastPrinted>2021-12-01T00:23:00Z</cp:lastPrinted>
  <dcterms:created xsi:type="dcterms:W3CDTF">2021-12-01T09:16:00Z</dcterms:created>
  <dcterms:modified xsi:type="dcterms:W3CDTF">2021-12-02T05:07:00Z</dcterms:modified>
</cp:coreProperties>
</file>