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2"/>
        <w:ind w:firstLine="0" w:left="10773"/>
        <w:outlineLvl w:val="0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Приложение</w:t>
      </w:r>
    </w:p>
    <w:p w14:paraId="03000000">
      <w:pPr>
        <w:pStyle w:val="Style_2"/>
        <w:ind w:firstLine="0" w:left="1247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14:paraId="04000000">
      <w:pPr>
        <w:pStyle w:val="Style_2"/>
        <w:ind w:firstLine="0" w:left="124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приказом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ФНС России</w:t>
      </w:r>
    </w:p>
    <w:p w14:paraId="05000000">
      <w:pPr>
        <w:pStyle w:val="Style_2"/>
        <w:ind w:firstLine="0" w:left="124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Амурской области</w:t>
      </w:r>
    </w:p>
    <w:p w14:paraId="06000000">
      <w:pPr>
        <w:pStyle w:val="Style_2"/>
        <w:ind w:firstLine="0" w:left="124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«14» октября </w:t>
      </w:r>
      <w:r>
        <w:rPr>
          <w:rFonts w:ascii="Times New Roman" w:hAnsi="Times New Roman"/>
          <w:sz w:val="24"/>
        </w:rPr>
        <w:t>2021 г.</w:t>
      </w:r>
    </w:p>
    <w:p w14:paraId="07000000">
      <w:pPr>
        <w:pStyle w:val="Style_2"/>
        <w:ind w:firstLine="0" w:left="124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02-04/1/181 од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bookmarkStart w:id="2" w:name="P27"/>
      <w:bookmarkEnd w:id="2"/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План противодействия коррупции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Управления Федеральной налоговой службы по Амурской области на 2021-2024 годы</w:t>
      </w:r>
    </w:p>
    <w:p w14:paraId="0B000000">
      <w:pPr>
        <w:pStyle w:val="Style_3"/>
        <w:rPr>
          <w:rFonts w:ascii="Times New Roman" w:hAnsi="Times New Roman"/>
          <w:b w:val="0"/>
          <w:sz w:val="16"/>
        </w:rPr>
      </w:pPr>
    </w:p>
    <w:tbl>
      <w:tblPr>
        <w:tblStyle w:val="Style_4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5170"/>
        <w:gridCol w:w="1701"/>
        <w:gridCol w:w="1701"/>
        <w:gridCol w:w="4962"/>
        <w:gridCol w:w="141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t>п</w:t>
            </w: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>п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Мероприятия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Ответственные исполнители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Срок исполнения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Ожидаемый результат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Отметка об исполнении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149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</w:t>
            </w:r>
            <w:r>
              <w:rPr>
                <w:rFonts w:ascii="Times New Roman" w:hAnsi="Times New Roman"/>
              </w:rPr>
              <w:t>овать проведение</w:t>
            </w:r>
            <w:r>
              <w:rPr>
                <w:rFonts w:ascii="Times New Roman" w:hAnsi="Times New Roman"/>
              </w:rPr>
              <w:t xml:space="preserve"> мероприятий по правовому просвещению гражданских служащих </w:t>
            </w:r>
            <w:r>
              <w:rPr>
                <w:rFonts w:ascii="Times New Roman" w:hAnsi="Times New Roman"/>
              </w:rPr>
              <w:t>Управления</w:t>
            </w:r>
            <w:r>
              <w:rPr>
                <w:rFonts w:ascii="Times New Roman" w:hAnsi="Times New Roman"/>
              </w:rPr>
              <w:t xml:space="preserve"> по вопросам противодействия коррупции и формированию атмосферы нетерпимости к коррупционным проявлениям (семинары, совещания, </w:t>
            </w:r>
            <w:r>
              <w:rPr>
                <w:rFonts w:ascii="Times New Roman" w:hAnsi="Times New Roman"/>
              </w:rPr>
              <w:t>вебинары</w:t>
            </w:r>
            <w:r>
              <w:rPr>
                <w:rFonts w:ascii="Times New Roman" w:hAnsi="Times New Roman"/>
              </w:rPr>
              <w:t>, тренинги, лекции, консультации).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1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2021 - 2024 гг.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Ежегодно до 20.06. и 20.12.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правовой грамотности гражданских служащих </w:t>
            </w:r>
            <w:r>
              <w:rPr>
                <w:rFonts w:ascii="Times New Roman" w:hAnsi="Times New Roman"/>
              </w:rPr>
              <w:t xml:space="preserve">Управления </w:t>
            </w:r>
            <w:r>
              <w:rPr>
                <w:rFonts w:ascii="Times New Roman" w:hAnsi="Times New Roman"/>
              </w:rPr>
              <w:t>в вопросах противодействия коррупции.</w:t>
            </w:r>
          </w:p>
          <w:p w14:paraId="1A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коррупционных и иных правонарушений.</w:t>
            </w:r>
          </w:p>
          <w:p w14:paraId="1B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морально-психологической обстановки нетерпимого отношения к коррупции.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</w:t>
            </w:r>
            <w:r>
              <w:rPr>
                <w:rFonts w:ascii="Times New Roman" w:hAnsi="Times New Roman"/>
              </w:rPr>
              <w:t xml:space="preserve"> комплекс организационных, разъяснительных и иных мер по соблюдению гражданским служащим </w:t>
            </w:r>
            <w:r>
              <w:rPr>
                <w:rFonts w:ascii="Times New Roman" w:hAnsi="Times New Roman"/>
              </w:rPr>
              <w:t>Управления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общих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"consultantplus://offline/ref=15FA68F4BAF88B97EF45A658812CB6CCE8FB0E018A21AA72B9CFB120379DD30B2B67905EBE85E167uAK"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принципов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служебного поведения государственных служащих, утвержденных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Указом Президента Российской Федерации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от 12 августа 2002 г. № 885,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"consultantplus://offline/ref=15FA68F4BAF88B97EF45A658812CB6CCE1F40900862DF778B196BD2230928C1C2C2E9C5FBE85E27368u7K"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Кодекса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этики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 разработанных Министерством</w:t>
            </w:r>
            <w:r>
              <w:rPr>
                <w:rFonts w:ascii="Times New Roman" w:hAnsi="Times New Roman"/>
              </w:rPr>
              <w:t xml:space="preserve"> труда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и социальной защиты Российской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Федерации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"consultantplus://offline/ref=C8CEEF24D91F4D4702B73E2D6994AB23F5D66174B6D259DBCCC8CFDA00683DDC78D3F84FC87A0EF1F23566D8DBCA066D8045B8D95A073D61vDFCJ"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Рекомендаций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по соблюдению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государственными 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безопасности, отдел</w:t>
            </w:r>
            <w:r>
              <w:rPr>
                <w:rFonts w:ascii="Times New Roman" w:hAnsi="Times New Roman"/>
              </w:rPr>
              <w:t xml:space="preserve"> кадров</w:t>
            </w:r>
          </w:p>
          <w:p w14:paraId="20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2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2021 - 2024 гг.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Ежегодно до 20.06. и 20.12.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правовой грамотности гражданских служащих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 xml:space="preserve"> в части установленных норм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этики и служебного поведения в целях противодействия коррупции и иным правонарушениям.</w:t>
            </w:r>
          </w:p>
          <w:p w14:paraId="24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коррупционных и иных правонарушений.</w:t>
            </w:r>
          </w:p>
          <w:p w14:paraId="25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морально-психологической обстановки нетерпимого отношения к коррупции.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</w:t>
            </w:r>
            <w:r>
              <w:rPr>
                <w:rFonts w:ascii="Times New Roman" w:hAnsi="Times New Roman"/>
              </w:rPr>
              <w:t xml:space="preserve"> комплекс организационных, разъяснительных и иных мер направленных на соблюдение лицами, замещавшими должности федеральной государственной гражданской службы в </w:t>
            </w:r>
            <w:r>
              <w:rPr>
                <w:rFonts w:ascii="Times New Roman" w:hAnsi="Times New Roman"/>
              </w:rPr>
              <w:t>Управлении</w:t>
            </w:r>
            <w:r>
              <w:rPr>
                <w:rFonts w:ascii="Times New Roman" w:hAnsi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"consultantplus://offline/ref=15FA68F4BAF88B97EF45A658812CB6CCE2F30203852CF778B196BD2230928C1C2C2E9C5C6Bu6K"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статьей 12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Федерального закона от 25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декабря 2008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 273-ФЗ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</w:p>
          <w:p w14:paraId="29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2"/>
              <w:ind/>
              <w:jc w:val="center"/>
            </w:pPr>
            <w:r>
              <w:rPr>
                <w:rFonts w:ascii="Times New Roman" w:hAnsi="Times New Roman"/>
              </w:rPr>
              <w:t>Отдел безопасности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2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</w:p>
          <w:p w14:paraId="2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увольнении с гражданской службы, </w:t>
            </w:r>
            <w:r>
              <w:rPr>
                <w:rFonts w:ascii="Times New Roman" w:hAnsi="Times New Roman"/>
              </w:rPr>
              <w:t>по мере поступления уведомлений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>
              <w:rPr>
                <w:rFonts w:ascii="Times New Roman" w:hAnsi="Times New Roman"/>
              </w:rPr>
              <w:t>Управлении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2"/>
              <w:ind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Проводить р</w:t>
            </w:r>
            <w:r>
              <w:rPr>
                <w:rFonts w:ascii="Times New Roman" w:hAnsi="Times New Roman"/>
              </w:rPr>
              <w:t xml:space="preserve">ассмотрение уведомлений юридических лиц, индивидуальных предпринимателей о заключении </w:t>
            </w:r>
            <w:r>
              <w:rPr>
                <w:rFonts w:ascii="Times New Roman" w:hAnsi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/>
              </w:rPr>
              <w:t xml:space="preserve">в с лицами, </w:t>
            </w:r>
            <w:r>
              <w:rPr>
                <w:rFonts w:ascii="Times New Roman" w:hAnsi="Times New Roman"/>
              </w:rPr>
              <w:t xml:space="preserve">замещавшими должности федеральной государственной гражданской службы в </w:t>
            </w:r>
            <w:r>
              <w:rPr>
                <w:rFonts w:ascii="Times New Roman" w:hAnsi="Times New Roman"/>
              </w:rPr>
              <w:t>Управлении</w:t>
            </w:r>
            <w:r>
              <w:rPr>
                <w:rFonts w:ascii="Times New Roman" w:hAnsi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"consultantplus://offline/ref=15FA68F4BAF88B97EF45A658812CB6CCE2F30203852CF778B196BD2230928C1C2C2E9C5C6Bu6K"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статьей 12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Федерального закона от 25 декабря 2008 г. № 273-ФЗ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«О противодействии коррупции».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32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35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</w:p>
          <w:p w14:paraId="3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 xml:space="preserve"> поступлени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уведомлений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>
              <w:rPr>
                <w:rFonts w:ascii="Times New Roman" w:hAnsi="Times New Roman"/>
              </w:rPr>
              <w:t>Управлении</w:t>
            </w:r>
            <w:r>
              <w:rPr>
                <w:rFonts w:ascii="Times New Roman" w:hAnsi="Times New Roman"/>
              </w:rPr>
              <w:t>.</w:t>
            </w:r>
          </w:p>
          <w:p w14:paraId="38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принятие мер реагирования.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рассмотрение уведомлений гражданских служащих Управления о фактах обращения в целях склонения к совершению коррупционных правонарушений.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3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</w:p>
          <w:p w14:paraId="3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</w:t>
            </w:r>
            <w:r>
              <w:rPr>
                <w:rFonts w:ascii="Times New Roman" w:hAnsi="Times New Roman"/>
              </w:rPr>
              <w:t>поступлени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уведомлений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принятие мер реагирования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 привлечению к ответственности лиц, обратившихся в целях склонения к совершению коррупционных правонарушений.</w:t>
            </w:r>
          </w:p>
          <w:p w14:paraId="41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морально-психологической обстановки нетерпимого отношения к коррупции.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рассмотрение уведомлений гражданских служащих Управления о намерении выполнять иную оплачиваемую работу.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47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</w:p>
          <w:p w14:paraId="4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 xml:space="preserve"> поступлени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уведомлений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Исключение рисков </w:t>
            </w:r>
            <w:r>
              <w:rPr>
                <w:rFonts w:ascii="Times New Roman" w:hAnsi="Times New Roman"/>
              </w:rPr>
              <w:t>возникновения конфликта интересов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t xml:space="preserve">гражданских служащих </w:t>
            </w:r>
            <w:r>
              <w:rPr>
                <w:rFonts w:ascii="Times New Roman" w:hAnsi="Times New Roman"/>
              </w:rPr>
              <w:t xml:space="preserve">Управления. </w:t>
            </w:r>
            <w:r>
              <w:rPr>
                <w:rFonts w:ascii="Times New Roman" w:hAnsi="Times New Roman"/>
              </w:rPr>
              <w:t>Своевременное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принятие мер реагирования.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Проводить рассмотрение уведомлений гражданских служащих Управления о возникшем конфликте интересов или возможности его возникновения.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4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</w:p>
          <w:p w14:paraId="50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 xml:space="preserve"> поступлени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уведомлений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Исключение рисков </w:t>
            </w:r>
            <w:r>
              <w:rPr>
                <w:rFonts w:ascii="Times New Roman" w:hAnsi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t>граждански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служащи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Управления. </w:t>
            </w:r>
            <w:r>
              <w:rPr>
                <w:rFonts w:ascii="Times New Roman" w:hAnsi="Times New Roman"/>
              </w:rPr>
              <w:t>Своевременное принятие мер реагирования.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работу по представлению гражданскими служащими Управления сведений о доходах,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расходах, об имуществе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 обязательствах имущественного характера.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>
              <w:rPr>
                <w:rFonts w:ascii="Times New Roman" w:hAnsi="Times New Roman"/>
              </w:rPr>
              <w:t xml:space="preserve"> кадров</w:t>
            </w:r>
            <w:r>
              <w:rPr>
                <w:rFonts w:ascii="Times New Roman" w:hAnsi="Times New Roman"/>
              </w:rPr>
              <w:t>, отдел безопасности</w:t>
            </w:r>
          </w:p>
          <w:p w14:paraId="5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5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</w:p>
          <w:p w14:paraId="5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жегодно с 1 января по 30 апреля (уточненные сведения по 30 мая)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своевременного исполнения гражданскими служащими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14:paraId="5B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2"/>
              <w:ind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149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/>
              </w:rPr>
              <w:t>Управления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5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коррупционных рисков и их устранение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</w:t>
            </w:r>
            <w:r>
              <w:rPr>
                <w:rFonts w:ascii="Times New Roman" w:hAnsi="Times New Roman"/>
              </w:rPr>
              <w:t xml:space="preserve"> эффективно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взаимодействи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Fonts w:ascii="Times New Roman" w:hAnsi="Times New Roman"/>
              </w:rPr>
              <w:t>Управлении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64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</w:p>
          <w:p w14:paraId="65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установленные межведомственными планами по противодействию коррупции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заседаниях межведомственных рабочих групп и иных мероприятиях по вопросам противодействия коррупции.</w:t>
            </w:r>
          </w:p>
          <w:p w14:paraId="67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а</w:t>
            </w:r>
            <w:r>
              <w:rPr>
                <w:rFonts w:ascii="Times New Roman" w:hAnsi="Times New Roman"/>
              </w:rPr>
              <w:t>нализ сведений о доходах, расходах, об имуществе и обязательствах имущественного характера, представленных гражданскими служащими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6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</w:p>
          <w:p w14:paraId="6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период декларационной кампании, при </w:t>
            </w:r>
            <w:r>
              <w:rPr>
                <w:rFonts w:ascii="Times New Roman" w:hAnsi="Times New Roman"/>
              </w:rPr>
              <w:t>приеме на гражданскую службу</w:t>
            </w:r>
            <w:r>
              <w:rPr>
                <w:rFonts w:ascii="Times New Roman" w:hAnsi="Times New Roman"/>
              </w:rPr>
              <w:t>.</w:t>
            </w:r>
          </w:p>
          <w:p w14:paraId="6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 xml:space="preserve">, а также </w:t>
            </w:r>
            <w:r>
              <w:rPr>
                <w:rFonts w:ascii="Times New Roman" w:hAnsi="Times New Roman"/>
              </w:rPr>
              <w:t>признаков нарушения указанными лицами законодательства Российской Федерации о государственной гражданской службе и о противодействии коррупции, в целях принятия своевременных мер реагирования и минимизации негативных последствий.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</w:t>
            </w:r>
            <w:r>
              <w:rPr>
                <w:rFonts w:ascii="Times New Roman" w:hAnsi="Times New Roman"/>
              </w:rPr>
              <w:t>одить</w:t>
            </w:r>
            <w:r>
              <w:rPr>
                <w:rFonts w:ascii="Times New Roman" w:hAnsi="Times New Roman"/>
              </w:rPr>
              <w:t xml:space="preserve"> в порядке, предусмотренном нормативными правовыми актами Российской Федерации, проверк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по фактам несоблюдения гражданскими служащими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 xml:space="preserve"> запретов, ограничений и неисполнения ими обязанностей, установленных в целях противодействия коррупции, в том числе проверок достоверности и полноты, представленных ими сведений о доходах, расходах, об имуществе и обязательствах имущественного характера.</w:t>
            </w:r>
          </w:p>
          <w:p w14:paraId="74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безопасности, отдел кадров, правовой отдел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77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2021 - 2024 гг. </w:t>
            </w:r>
          </w:p>
          <w:p w14:paraId="7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поступлении информации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своевременных и действенных мер реагирования в отношении гражданских служащих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 xml:space="preserve"> по установленным случаям нарушения законодательства о противодействии коррупции.</w:t>
            </w:r>
          </w:p>
          <w:p w14:paraId="7A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</w:t>
            </w:r>
            <w:r>
              <w:rPr>
                <w:rFonts w:ascii="Times New Roman" w:hAnsi="Times New Roman"/>
              </w:rPr>
              <w:t>овать</w:t>
            </w:r>
            <w:r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Комиссии по соблюдению требований к служебному поведению федеральных государственных гражданских служащих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 xml:space="preserve"> для выполнения задач, поставленных перед Федеральной налоговой службой, и урегулированию конфликта интересов.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80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 постоянной основе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своевременных и действенных мер реагирования в отношении гражданских служащих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 xml:space="preserve"> допустивших нарушение требований антикоррупционного законодательства.</w:t>
            </w:r>
          </w:p>
          <w:p w14:paraId="82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морально-психологической обстановки нетерпимого отношения к коррупции.</w:t>
            </w:r>
          </w:p>
          <w:p w14:paraId="83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  <w:p w14:paraId="84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м</w:t>
            </w:r>
            <w:r>
              <w:rPr>
                <w:rFonts w:ascii="Times New Roman" w:hAnsi="Times New Roman"/>
              </w:rPr>
              <w:t>ониторинг исполнения гражданскими служащими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 xml:space="preserve"> обязанности соблюдения запретов,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ограничений и требований, установленных законодательством Российской Федерации о </w:t>
            </w:r>
            <w:r>
              <w:rPr>
                <w:rFonts w:ascii="Times New Roman" w:hAnsi="Times New Roman"/>
              </w:rPr>
              <w:t>противодействи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коррупции, а также реализации </w:t>
            </w:r>
            <w:r>
              <w:rPr>
                <w:rFonts w:ascii="Times New Roman" w:hAnsi="Times New Roman"/>
              </w:rPr>
              <w:t>ими</w:t>
            </w:r>
            <w:r>
              <w:rPr>
                <w:rFonts w:ascii="Times New Roman" w:hAnsi="Times New Roman"/>
              </w:rPr>
              <w:t xml:space="preserve"> обязанности принимать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меры по предотвращению и урегулированию конфликта интересов.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8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2021 - 2024 гг.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 постоянной основе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соблюдения гражданскими служащими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 xml:space="preserve"> запретов, ограничений и требований, установленных законодательством Российской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Федерации о </w:t>
            </w:r>
            <w:r>
              <w:rPr>
                <w:rFonts w:ascii="Times New Roman" w:hAnsi="Times New Roman"/>
              </w:rPr>
              <w:t>противодействи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коррупции, а также обязанности по предотвращению и урегулированию конфликта интересов.</w:t>
            </w:r>
          </w:p>
          <w:p w14:paraId="8C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14:paraId="8D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м</w:t>
            </w:r>
            <w:r>
              <w:rPr>
                <w:rFonts w:ascii="Times New Roman" w:hAnsi="Times New Roman"/>
              </w:rPr>
              <w:t>ониторинг исполнения гражданскими служащими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сдачи и оценки подарка, реализации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(выкупа) и зачисления в доход соответствующего бюджета средств, вырученных от его реализации.</w:t>
            </w:r>
          </w:p>
          <w:p w14:paraId="91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безопасности, хозяйственный отдел, финансовый отдел, отдел кадров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9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 постоянной основе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соблюдения гражданскими служащими</w:t>
            </w:r>
            <w:r>
              <w:rPr>
                <w:rFonts w:ascii="Times New Roman" w:hAnsi="Times New Roman"/>
              </w:rPr>
              <w:t xml:space="preserve"> Управления </w:t>
            </w:r>
            <w:r>
              <w:rPr>
                <w:rFonts w:ascii="Times New Roman" w:hAnsi="Times New Roman"/>
              </w:rPr>
              <w:t xml:space="preserve">установленного порядка сообщения о получении подарка. </w:t>
            </w:r>
          </w:p>
          <w:p w14:paraId="96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14:paraId="97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м</w:t>
            </w:r>
            <w:r>
              <w:rPr>
                <w:rFonts w:ascii="Times New Roman" w:hAnsi="Times New Roman"/>
              </w:rPr>
              <w:t>ониторинг соблюдения гражданскими служащими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 xml:space="preserve"> этических норм и правил, установленных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"consultantplus://offline/ref=15FA68F4BAF88B97EF45A658812CB6CCE1F40900862DF778B196BD2230928C1C2C2E9C5FBE85E27368u7K"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Кодексом</w:t>
            </w:r>
            <w:r>
              <w:rPr>
                <w:rFonts w:ascii="Times New Roman" w:hAnsi="Times New Roman"/>
              </w:rP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</w:rPr>
              <w:t>этики 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>
              <w:rPr>
                <w:rFonts w:ascii="Times New Roman" w:hAnsi="Times New Roman"/>
              </w:rPr>
              <w:t xml:space="preserve"> кадров</w:t>
            </w:r>
          </w:p>
          <w:p w14:paraId="9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9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2021 - 2024 гг.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 постоянной основе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/>
              </w:rPr>
              <w:t xml:space="preserve">Управления </w:t>
            </w:r>
            <w:r>
              <w:rPr>
                <w:rFonts w:ascii="Times New Roman" w:hAnsi="Times New Roman"/>
              </w:rPr>
              <w:t xml:space="preserve">этических норм и правил, установленных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"consultantplus://offline/ref=15FA68F4BAF88B97EF45A658812CB6CCE1F40900862DF778B196BD2230928C1C2C2E9C5FBE85E27368u7K"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Кодексом</w:t>
            </w:r>
            <w:r>
              <w:rPr>
                <w:rFonts w:ascii="Times New Roman" w:hAnsi="Times New Roman"/>
              </w:rP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</w:rPr>
              <w:t>этики и служебного поведения государственных гражданских служащих Федеральной налоговой службы.</w:t>
            </w:r>
          </w:p>
          <w:p w14:paraId="A0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14:paraId="A1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мониторинг</w:t>
            </w:r>
            <w:r>
              <w:rPr>
                <w:rFonts w:ascii="Times New Roman" w:hAnsi="Times New Roman"/>
              </w:rPr>
              <w:t xml:space="preserve"> соблюдения гражданскими служащими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ФНС России.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хозяйственный отдел</w:t>
            </w:r>
          </w:p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A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соблюдения гражданскими служащими</w:t>
            </w:r>
            <w:r>
              <w:rPr>
                <w:rFonts w:ascii="Times New Roman" w:hAnsi="Times New Roman"/>
              </w:rPr>
              <w:t xml:space="preserve"> Управления </w:t>
            </w:r>
            <w:r>
              <w:rPr>
                <w:rFonts w:ascii="Times New Roman" w:hAnsi="Times New Roman"/>
              </w:rPr>
              <w:t xml:space="preserve">требований законодательства о противодействии коррупции при осуществлении закупок для государственных нужд ФНС России. </w:t>
            </w:r>
          </w:p>
          <w:p w14:paraId="AA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14:paraId="AB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м</w:t>
            </w:r>
            <w:r>
              <w:rPr>
                <w:rFonts w:ascii="Times New Roman" w:hAnsi="Times New Roman"/>
              </w:rPr>
              <w:t>ониторинг публикаций</w:t>
            </w:r>
            <w:r>
              <w:rPr>
                <w:rFonts w:ascii="Times New Roman" w:hAnsi="Times New Roman"/>
              </w:rPr>
              <w:t>, размещенных в сети интернет и</w:t>
            </w:r>
            <w:r>
              <w:rPr>
                <w:rFonts w:ascii="Times New Roman" w:hAnsi="Times New Roman"/>
              </w:rPr>
              <w:t xml:space="preserve"> средствах массовой </w:t>
            </w:r>
            <w:r>
              <w:rPr>
                <w:rFonts w:ascii="Times New Roman" w:hAnsi="Times New Roman"/>
              </w:rPr>
              <w:t>информации,</w:t>
            </w:r>
            <w:r>
              <w:rPr>
                <w:rFonts w:ascii="Times New Roman" w:hAnsi="Times New Roman"/>
              </w:rPr>
              <w:t xml:space="preserve"> о фактах</w:t>
            </w:r>
            <w:r>
              <w:rPr>
                <w:rFonts w:ascii="Times New Roman" w:hAnsi="Times New Roman"/>
              </w:rPr>
              <w:t>, свидетельствующих о совершении коррупционных и иных правонарушений, как сотрудниками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Управления,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так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 в отношении указанных лиц.</w:t>
            </w:r>
          </w:p>
          <w:p w14:paraId="AF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  <w:p w14:paraId="B0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  <w:p w14:paraId="B1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безопасности, отдел работы с налогоплательщиками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B4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</w:p>
          <w:p w14:paraId="B5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 постоянной основе</w:t>
            </w:r>
            <w:r>
              <w:rPr>
                <w:rFonts w:ascii="Times New Roman" w:hAnsi="Times New Roman"/>
              </w:rPr>
              <w:t>.</w:t>
            </w:r>
          </w:p>
          <w:p w14:paraId="B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2"/>
              <w:ind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149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</w:t>
            </w:r>
            <w:r>
              <w:rPr>
                <w:rFonts w:ascii="Times New Roman" w:hAnsi="Times New Roman"/>
              </w:rPr>
              <w:t>Управления</w:t>
            </w:r>
            <w:r>
              <w:rPr>
                <w:rFonts w:ascii="Times New Roman" w:hAnsi="Times New Roman"/>
              </w:rPr>
              <w:t xml:space="preserve"> с институтами гражданского общества и гражданами, </w:t>
            </w:r>
          </w:p>
          <w:p w14:paraId="B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доступн</w:t>
            </w:r>
            <w:r>
              <w:rPr>
                <w:rFonts w:ascii="Times New Roman" w:hAnsi="Times New Roman"/>
              </w:rPr>
              <w:t>ости информации о деятельности Управления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</w:t>
            </w:r>
            <w:r>
              <w:rPr>
                <w:rFonts w:ascii="Times New Roman" w:hAnsi="Times New Roman"/>
              </w:rPr>
              <w:t>ать</w:t>
            </w:r>
            <w:r>
              <w:rPr>
                <w:rFonts w:ascii="Times New Roman" w:hAnsi="Times New Roman"/>
              </w:rPr>
              <w:t xml:space="preserve"> в установленном порядке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 официальном сайте ФНС России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в информационно-телекоммуникационной сети «Интернет» </w:t>
            </w:r>
            <w:r>
              <w:rPr>
                <w:rFonts w:ascii="Times New Roman" w:hAnsi="Times New Roman"/>
              </w:rPr>
              <w:t>(</w:t>
            </w:r>
            <w:r>
              <w:rPr>
                <w:rStyle w:val="Style_5_ch"/>
                <w:color w:val="000000"/>
              </w:rPr>
              <w:fldChar w:fldCharType="begin"/>
            </w:r>
            <w:r>
              <w:rPr>
                <w:rStyle w:val="Style_5_ch"/>
                <w:color w:val="000000"/>
              </w:rPr>
              <w:instrText>HYPERLINK "http://www.nalog.gov.ru"</w:instrText>
            </w:r>
            <w:r>
              <w:rPr>
                <w:rStyle w:val="Style_5_ch"/>
                <w:color w:val="000000"/>
              </w:rPr>
              <w:fldChar w:fldCharType="separate"/>
            </w:r>
            <w:r>
              <w:rPr>
                <w:rStyle w:val="Style_5_ch"/>
                <w:color w:val="000000"/>
              </w:rPr>
              <w:t>www.nalog.</w:t>
            </w:r>
            <w:r>
              <w:rPr>
                <w:rStyle w:val="Style_5_ch"/>
                <w:color w:val="000000"/>
              </w:rPr>
              <w:t>gov</w:t>
            </w:r>
            <w:r>
              <w:rPr>
                <w:rStyle w:val="Style_5_ch"/>
                <w:color w:val="000000"/>
              </w:rPr>
              <w:t>.</w:t>
            </w:r>
            <w:r>
              <w:rPr>
                <w:rStyle w:val="Style_5_ch"/>
                <w:color w:val="000000"/>
              </w:rPr>
              <w:t>ru</w:t>
            </w:r>
            <w:r>
              <w:rPr>
                <w:rStyle w:val="Style_5_ch"/>
                <w:color w:val="000000"/>
              </w:rPr>
              <w:fldChar w:fldCharType="end"/>
            </w:r>
            <w:r>
              <w:t>)</w:t>
            </w:r>
            <w:r>
              <w:rPr>
                <w:rFonts w:ascii="Times New Roman" w:hAnsi="Times New Roman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служащими </w:t>
            </w:r>
            <w:r>
              <w:rPr>
                <w:rFonts w:ascii="Times New Roman" w:hAnsi="Times New Roman"/>
              </w:rPr>
              <w:t>Управления</w:t>
            </w:r>
            <w:r>
              <w:rPr>
                <w:rFonts w:ascii="Times New Roman" w:hAnsi="Times New Roman"/>
              </w:rPr>
              <w:t xml:space="preserve">, назначаемыми на должность и освобождаемыми от должности руководителем ФНС России.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кадров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C0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</w:p>
          <w:p w14:paraId="C1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жегодно, в течение 14 рабочих дней со дня истечения срока, установленного для представления указанных сведений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открытости и доступности информации о деятельности </w:t>
            </w:r>
            <w:r>
              <w:rPr>
                <w:rFonts w:ascii="Times New Roman" w:hAnsi="Times New Roman"/>
              </w:rPr>
              <w:t>Управления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</w:t>
            </w:r>
            <w:r>
              <w:rPr>
                <w:rFonts w:ascii="Times New Roman" w:hAnsi="Times New Roman"/>
              </w:rPr>
              <w:t>ать</w:t>
            </w:r>
            <w:r>
              <w:rPr>
                <w:rFonts w:ascii="Times New Roman" w:hAnsi="Times New Roman"/>
              </w:rPr>
              <w:t xml:space="preserve"> на официальном сайте ФНС России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 информационно-телекоммуникационной сети «Интернет» (</w:t>
            </w:r>
            <w:r>
              <w:t>www.nalog.</w:t>
            </w:r>
            <w:r>
              <w:t>gov</w:t>
            </w:r>
            <w:r>
              <w:t>.</w:t>
            </w:r>
            <w:r>
              <w:t>ru)</w:t>
            </w:r>
            <w:r>
              <w:rPr>
                <w:rFonts w:ascii="Times New Roman" w:hAnsi="Times New Roman"/>
              </w:rPr>
              <w:t xml:space="preserve"> в разделе, посвященном противодействию коррупции, актуальной информации об антикоррупционной деятельности.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безопасности, отдел работы с налогоплательщиками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C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2021 - 2024 гг. 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жемесячн</w:t>
            </w:r>
            <w:r>
              <w:rPr>
                <w:rFonts w:ascii="Times New Roman" w:hAnsi="Times New Roman"/>
              </w:rPr>
              <w:t>о.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открытости и доступности информации о деятельности </w:t>
            </w:r>
            <w:r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существлять</w:t>
            </w:r>
            <w:r>
              <w:rPr>
                <w:rFonts w:ascii="Times New Roman" w:hAnsi="Times New Roman"/>
              </w:rPr>
              <w:t xml:space="preserve"> эффективно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взаимодействи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Управления</w:t>
            </w:r>
            <w:r>
              <w:rPr>
                <w:rFonts w:ascii="Times New Roman" w:hAnsi="Times New Roman"/>
              </w:rPr>
              <w:t xml:space="preserve"> с институтами гражданского общества 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вопросам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Управления</w:t>
            </w:r>
            <w:r>
              <w:rPr>
                <w:rFonts w:ascii="Times New Roman" w:hAnsi="Times New Roman"/>
              </w:rPr>
              <w:t xml:space="preserve">, в том числе Общественным советом при </w:t>
            </w:r>
            <w:r>
              <w:rPr>
                <w:rFonts w:ascii="Times New Roman" w:hAnsi="Times New Roman"/>
              </w:rPr>
              <w:t>Управлении</w:t>
            </w:r>
            <w:r>
              <w:rPr>
                <w:rFonts w:ascii="Times New Roman" w:hAnsi="Times New Roman"/>
              </w:rPr>
              <w:t xml:space="preserve">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безопасности, отдел работы с налогоплательщиками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C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</w:p>
          <w:p w14:paraId="D0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одного раза в полугодие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Укрепление доверия граждан и организаций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к деятельности </w:t>
            </w:r>
            <w:r>
              <w:rPr>
                <w:rFonts w:ascii="Times New Roman" w:hAnsi="Times New Roman"/>
              </w:rPr>
              <w:t>Управления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</w:t>
            </w:r>
            <w:r>
              <w:rPr>
                <w:rFonts w:ascii="Times New Roman" w:hAnsi="Times New Roman"/>
              </w:rPr>
              <w:t>ить</w:t>
            </w:r>
            <w:r>
              <w:rPr>
                <w:rFonts w:ascii="Times New Roman" w:hAnsi="Times New Roman"/>
              </w:rPr>
              <w:t xml:space="preserve"> возможност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оперативного представления гражданами и организациями информации о фактах коррупции в </w:t>
            </w:r>
            <w:r>
              <w:rPr>
                <w:rFonts w:ascii="Times New Roman" w:hAnsi="Times New Roman"/>
              </w:rPr>
              <w:t>Управлении</w:t>
            </w:r>
            <w:r>
              <w:rPr>
                <w:rFonts w:ascii="Times New Roman" w:hAnsi="Times New Roman"/>
              </w:rPr>
              <w:t xml:space="preserve"> или нарушениях гражданскими служащими</w:t>
            </w:r>
            <w:r>
              <w:rPr>
                <w:rFonts w:ascii="Times New Roman" w:hAnsi="Times New Roman"/>
              </w:rPr>
              <w:t xml:space="preserve"> Управления </w:t>
            </w:r>
            <w:r>
              <w:rPr>
                <w:rFonts w:ascii="Times New Roman" w:hAnsi="Times New Roman"/>
              </w:rPr>
              <w:t>требований к служебному (должностному) поведению посредством функционирования «телефона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доверия» по вопросам противодействия коррупции. </w:t>
            </w:r>
          </w:p>
          <w:p w14:paraId="D5000000">
            <w:pPr>
              <w:pStyle w:val="Style_2"/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D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</w:p>
          <w:p w14:paraId="D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возможности для граждан и организаций сообщать о возможных коррупционных правонарушениях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 стороны гражданских служащих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>.</w:t>
            </w:r>
          </w:p>
          <w:p w14:paraId="DB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</w:t>
            </w:r>
            <w:r>
              <w:rPr>
                <w:rFonts w:ascii="Times New Roman" w:hAnsi="Times New Roman"/>
              </w:rPr>
              <w:t>ить</w:t>
            </w:r>
            <w:r>
              <w:rPr>
                <w:rFonts w:ascii="Times New Roman" w:hAnsi="Times New Roman"/>
              </w:rPr>
              <w:t xml:space="preserve"> возможност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представления гражданами 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организациями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фактах коррупции в </w:t>
            </w:r>
            <w:r>
              <w:rPr>
                <w:rFonts w:ascii="Times New Roman" w:hAnsi="Times New Roman"/>
              </w:rPr>
              <w:t>Управлении</w:t>
            </w:r>
            <w:r>
              <w:rPr>
                <w:rFonts w:ascii="Times New Roman" w:hAnsi="Times New Roman"/>
              </w:rPr>
              <w:t xml:space="preserve"> или нарушениях гражданскими служащими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 xml:space="preserve"> требований к служебному (должностному</w:t>
            </w:r>
            <w:r>
              <w:rPr>
                <w:rFonts w:ascii="Times New Roman" w:hAnsi="Times New Roman"/>
              </w:rPr>
              <w:t xml:space="preserve">) поведению посредством использования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пециализированн</w:t>
            </w:r>
            <w:r>
              <w:rPr>
                <w:rFonts w:ascii="Times New Roman" w:hAnsi="Times New Roman"/>
              </w:rPr>
              <w:t>ого</w:t>
            </w:r>
            <w:r>
              <w:rPr>
                <w:rFonts w:ascii="Times New Roman" w:hAnsi="Times New Roman"/>
              </w:rPr>
              <w:t xml:space="preserve"> почтов</w:t>
            </w:r>
            <w:r>
              <w:rPr>
                <w:rFonts w:ascii="Times New Roman" w:hAnsi="Times New Roman"/>
              </w:rPr>
              <w:t>ого</w:t>
            </w:r>
            <w:r>
              <w:rPr>
                <w:rFonts w:ascii="Times New Roman" w:hAnsi="Times New Roman"/>
              </w:rPr>
              <w:t xml:space="preserve"> ящик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для сбора обращений по факт</w:t>
            </w:r>
            <w:r>
              <w:rPr>
                <w:rFonts w:ascii="Times New Roman" w:hAnsi="Times New Roman"/>
              </w:rPr>
              <w:t>ам коррупции.</w:t>
            </w:r>
          </w:p>
          <w:p w14:paraId="DF000000">
            <w:pPr>
              <w:pStyle w:val="Style_2"/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E2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  <w:r>
              <w:rPr>
                <w:rFonts w:ascii="Times New Roman" w:hAnsi="Times New Roman"/>
              </w:rPr>
              <w:t xml:space="preserve"> Ежедневно.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возможности для граждан и организаций сообщать о возможных коррупционных правонарушениях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 стороны гражданских служащих</w:t>
            </w:r>
            <w:r>
              <w:rPr>
                <w:rFonts w:ascii="Times New Roman" w:hAnsi="Times New Roman"/>
              </w:rPr>
              <w:t xml:space="preserve"> Управления</w:t>
            </w:r>
            <w:r>
              <w:rPr>
                <w:rFonts w:ascii="Times New Roman" w:hAnsi="Times New Roman"/>
              </w:rPr>
              <w:t>.</w:t>
            </w:r>
          </w:p>
          <w:p w14:paraId="E4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Обеспечить выполнение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 в части включения в состав Общественного совета при Управлении представителей некоммерческих организаций, уставная деятельность которых связана с противодействием коррупции. </w:t>
            </w:r>
          </w:p>
          <w:p w14:paraId="E8000000">
            <w:pPr>
              <w:pStyle w:val="Style_2"/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безопасности, отдел работы с налогоплательщиками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29.03.2024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2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14:paraId="EC000000">
            <w:pPr>
              <w:pStyle w:val="Style_2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открытости и доступности информации о деятельности Управления.</w:t>
            </w:r>
          </w:p>
          <w:p w14:paraId="ED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149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</w:t>
            </w:r>
            <w:r>
              <w:rPr>
                <w:rFonts w:ascii="Times New Roman" w:hAnsi="Times New Roman"/>
              </w:rPr>
              <w:t xml:space="preserve"> повышени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квалификации гражданских служащих </w:t>
            </w:r>
            <w:r>
              <w:rPr>
                <w:rFonts w:ascii="Times New Roman" w:hAnsi="Times New Roman"/>
              </w:rPr>
              <w:t>Управления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 должностные обязанности которых входит работа по профилактике коррупционных и иных правонарушений</w:t>
            </w:r>
            <w:r>
              <w:rPr>
                <w:rFonts w:ascii="Times New Roman" w:hAnsi="Times New Roman"/>
              </w:rPr>
              <w:t xml:space="preserve"> в образовательных учреждениях ФНС России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кадров, отдел безопасности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F5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 гг.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квалификации гражданских служащих </w:t>
            </w:r>
            <w:r>
              <w:rPr>
                <w:rFonts w:ascii="Times New Roman" w:hAnsi="Times New Roman"/>
              </w:rPr>
              <w:t>Управления</w:t>
            </w:r>
            <w:r>
              <w:rPr>
                <w:rFonts w:ascii="Times New Roman" w:hAnsi="Times New Roman"/>
              </w:rPr>
              <w:t>, ответственных за работу по профилактике коррупционных и иных правонарушений.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149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>контроля за</w:t>
            </w:r>
            <w:r>
              <w:rPr>
                <w:rFonts w:ascii="Times New Roman" w:hAnsi="Times New Roman"/>
              </w:rPr>
              <w:t xml:space="preserve"> исполнением Плана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Представить информацию руководителю Управления о ходе исполнения Плана.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14:paraId="F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2021 - 2024 гг.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Ежегодно к </w:t>
            </w:r>
          </w:p>
          <w:p w14:paraId="F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июня,  </w:t>
            </w:r>
          </w:p>
          <w:p w14:paraId="0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декабря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 xml:space="preserve">соблюдения государственными </w:t>
            </w:r>
            <w:r>
              <w:rPr>
                <w:rFonts w:ascii="Times New Roman" w:hAnsi="Times New Roman"/>
              </w:rPr>
              <w:t>гражданскими служащими</w:t>
            </w:r>
            <w:r>
              <w:rPr>
                <w:rFonts w:ascii="Times New Roman" w:hAnsi="Times New Roman"/>
              </w:rPr>
              <w:t xml:space="preserve"> Управления законодательства Российской Федерации о противодействии коррупции.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</w:tbl>
    <w:p w14:paraId="03010000">
      <w:pPr>
        <w:rPr>
          <w:rFonts w:ascii="Times New Roman" w:hAnsi="Times New Roman"/>
        </w:rPr>
      </w:pPr>
    </w:p>
    <w:sectPr>
      <w:headerReference r:id="rId1" w:type="default"/>
      <w:pgSz w:h="11906" w:w="16838"/>
      <w:pgMar w:bottom="624" w:footer="709" w:gutter="0" w:header="709" w:left="720" w:right="720" w:top="73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Calibri" w:hAnsi="Calibri"/>
    </w:rPr>
  </w:style>
  <w:style w:default="1" w:styleId="Style_6_ch" w:type="character">
    <w:name w:val="Normal"/>
    <w:link w:val="Style_6"/>
    <w:rPr>
      <w:rFonts w:ascii="Calibri" w:hAnsi="Calibri"/>
    </w:rPr>
  </w:style>
  <w:style w:styleId="Style_3" w:type="paragraph">
    <w:name w:val="ConsPlusTitle"/>
    <w:link w:val="Style_3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3_ch" w:type="character">
    <w:name w:val="ConsPlusTitle"/>
    <w:link w:val="Style_3"/>
    <w:rPr>
      <w:rFonts w:ascii="Calibri" w:hAnsi="Calibri"/>
      <w:b w:val="1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2" w:type="paragraph">
    <w:name w:val="toc 3"/>
    <w:next w:val="Style_6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5" w:type="paragraph">
    <w:name w:val="Hyperlink"/>
    <w:link w:val="Style_5_ch"/>
    <w:rPr>
      <w:color w:val="0563C1"/>
      <w:u w:val="single"/>
    </w:rPr>
  </w:style>
  <w:style w:styleId="Style_5_ch" w:type="character">
    <w:name w:val="Hyperlink"/>
    <w:link w:val="Style_5"/>
    <w:rPr>
      <w:color w:val="0563C1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6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Balloon Text"/>
    <w:basedOn w:val="Style_6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6_ch"/>
    <w:link w:val="Style_21"/>
    <w:rPr>
      <w:rFonts w:ascii="Tahoma" w:hAnsi="Tahoma"/>
      <w:sz w:val="16"/>
    </w:rPr>
  </w:style>
  <w:style w:styleId="Style_22" w:type="paragraph">
    <w:name w:val="toc 5"/>
    <w:next w:val="Style_6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6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6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6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paragraph">
    <w:name w:val="footer"/>
    <w:basedOn w:val="Style_6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8_ch" w:type="character">
    <w:name w:val="footer"/>
    <w:basedOn w:val="Style_6_ch"/>
    <w:link w:val="Style_28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2021-10-19T07:01:54Z</dcterms:modified>
</cp:coreProperties>
</file>