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7248" w:rsidTr="00F472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7248" w:rsidRDefault="00F47248">
            <w:pPr>
              <w:pStyle w:val="ConsPlusNormal"/>
              <w:outlineLvl w:val="0"/>
            </w:pPr>
            <w:bookmarkStart w:id="0" w:name="_GoBack"/>
            <w:bookmarkEnd w:id="0"/>
            <w:r>
              <w:t>27 ноября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47248" w:rsidRDefault="00F47248">
            <w:pPr>
              <w:pStyle w:val="ConsPlusNormal"/>
              <w:jc w:val="right"/>
              <w:outlineLvl w:val="0"/>
            </w:pPr>
            <w:r>
              <w:t>441-ОЗ</w:t>
            </w:r>
          </w:p>
        </w:tc>
      </w:tr>
    </w:tbl>
    <w:p w:rsidR="00F47248" w:rsidRDefault="00F4724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F47248" w:rsidRDefault="00F47248">
      <w:pPr>
        <w:pStyle w:val="ConsPlusNormal"/>
        <w:jc w:val="both"/>
      </w:pPr>
    </w:p>
    <w:p w:rsidR="00F47248" w:rsidRDefault="00F47248">
      <w:pPr>
        <w:pStyle w:val="ConsPlusTitle"/>
        <w:jc w:val="center"/>
      </w:pPr>
      <w:r>
        <w:t>ЗАКОН АМУРСКОЙ ОБЛАСТИ</w:t>
      </w:r>
    </w:p>
    <w:p w:rsidR="00F47248" w:rsidRDefault="00F47248">
      <w:pPr>
        <w:pStyle w:val="ConsPlusTitle"/>
        <w:jc w:val="center"/>
      </w:pPr>
    </w:p>
    <w:p w:rsidR="00F47248" w:rsidRDefault="00F47248">
      <w:pPr>
        <w:pStyle w:val="ConsPlusTitle"/>
        <w:jc w:val="center"/>
      </w:pPr>
      <w:r>
        <w:t>О ВНЕСЕНИИ ИЗМЕНЕНИЙ В ЗАКОН АМУРСКОЙ ОБЛАСТИ "</w:t>
      </w:r>
      <w:proofErr w:type="gramStart"/>
      <w:r>
        <w:t>О</w:t>
      </w:r>
      <w:proofErr w:type="gramEnd"/>
      <w:r>
        <w:t xml:space="preserve"> ПАТЕНТНОЙ</w:t>
      </w:r>
    </w:p>
    <w:p w:rsidR="00F47248" w:rsidRDefault="00F47248">
      <w:pPr>
        <w:pStyle w:val="ConsPlusTitle"/>
        <w:jc w:val="center"/>
      </w:pPr>
      <w:r>
        <w:t>СИСТЕМЕ НАЛОГООБЛОЖЕНИЯ НА ТЕРРИТОРИИ АМУРСКОЙ ОБЛАСТИ"</w:t>
      </w:r>
    </w:p>
    <w:p w:rsidR="00F47248" w:rsidRDefault="00F47248">
      <w:pPr>
        <w:pStyle w:val="ConsPlusNormal"/>
        <w:jc w:val="right"/>
      </w:pPr>
    </w:p>
    <w:p w:rsidR="00F47248" w:rsidRDefault="00F47248">
      <w:pPr>
        <w:pStyle w:val="ConsPlusNormal"/>
        <w:jc w:val="right"/>
      </w:pPr>
      <w:proofErr w:type="gramStart"/>
      <w:r>
        <w:t>Принят</w:t>
      </w:r>
      <w:proofErr w:type="gramEnd"/>
    </w:p>
    <w:p w:rsidR="00F47248" w:rsidRDefault="00F47248">
      <w:pPr>
        <w:pStyle w:val="ConsPlusNormal"/>
        <w:jc w:val="right"/>
      </w:pPr>
      <w:r>
        <w:t>Законодательным Собранием</w:t>
      </w:r>
    </w:p>
    <w:p w:rsidR="00F47248" w:rsidRDefault="00F47248">
      <w:pPr>
        <w:pStyle w:val="ConsPlusNormal"/>
        <w:jc w:val="right"/>
      </w:pPr>
      <w:r>
        <w:t>Амурской области</w:t>
      </w:r>
    </w:p>
    <w:p w:rsidR="00F47248" w:rsidRDefault="00F47248">
      <w:pPr>
        <w:pStyle w:val="ConsPlusNormal"/>
        <w:jc w:val="right"/>
      </w:pPr>
      <w:r>
        <w:t>17 ноября 2014 года</w:t>
      </w:r>
    </w:p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ind w:firstLine="540"/>
        <w:jc w:val="both"/>
        <w:outlineLvl w:val="1"/>
      </w:pPr>
      <w:r>
        <w:t>Статья 1</w:t>
      </w:r>
    </w:p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Амурской области от 9 октября 2012 г. N 93-ОЗ "О патентной системе налогообложения на территории Амурской области" (с учетом изменений, внесенных Законом Амурской области от 8 октября 2013 г. N 232-ОЗ) следующие изменения:</w:t>
      </w:r>
    </w:p>
    <w:p w:rsidR="00F47248" w:rsidRDefault="00F47248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статье 2</w:t>
        </w:r>
      </w:hyperlink>
      <w:r>
        <w:t>:</w:t>
      </w:r>
    </w:p>
    <w:p w:rsidR="00F47248" w:rsidRDefault="00F47248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абзаце первом</w:t>
        </w:r>
      </w:hyperlink>
      <w:r>
        <w:t xml:space="preserve"> слова "на 2013 год" заменить словами "на 2015 год";</w:t>
      </w:r>
    </w:p>
    <w:p w:rsidR="00F47248" w:rsidRDefault="00F47248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пункт 6</w:t>
        </w:r>
      </w:hyperlink>
      <w:r>
        <w:t xml:space="preserve"> изложить в новой редакции:</w:t>
      </w:r>
    </w:p>
    <w:p w:rsidR="00F47248" w:rsidRDefault="00F47248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309"/>
        <w:gridCol w:w="1701"/>
      </w:tblGrid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"6.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металлоизделий: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6.1.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350000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6.2.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Средняя численность наемных работников 1 - 5 чел.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500000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6.3.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Средняя численность наемных работников 6 - 15 чел.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1000000";</w:t>
            </w:r>
          </w:p>
        </w:tc>
      </w:tr>
    </w:tbl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пункты 12</w:t>
        </w:r>
      </w:hyperlink>
      <w:r>
        <w:t xml:space="preserve">, </w:t>
      </w:r>
      <w:hyperlink r:id="rId10" w:history="1">
        <w:r>
          <w:rPr>
            <w:color w:val="0000FF"/>
          </w:rPr>
          <w:t>13</w:t>
        </w:r>
      </w:hyperlink>
      <w:r>
        <w:t xml:space="preserve"> изложить в новой редакции:</w:t>
      </w:r>
    </w:p>
    <w:p w:rsidR="00F47248" w:rsidRDefault="00F47248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309"/>
        <w:gridCol w:w="1701"/>
      </w:tblGrid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"12.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Ремонт жилья и других построек: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12.1.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350000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12.2.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Средняя численность наемных работников 1 - 5 чел.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500000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12.3.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Средняя численность наемных работников 6 - 15 чел.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1000000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13.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13.1.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350000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lastRenderedPageBreak/>
              <w:t>13.2.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Средняя численность наемных работников 1 - 5 чел.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500000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13.3.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Средняя численность наемных работников 6 - 15 чел.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1000000";</w:t>
            </w:r>
          </w:p>
        </w:tc>
      </w:tr>
    </w:tbl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пункт 27</w:t>
        </w:r>
      </w:hyperlink>
      <w:r>
        <w:t xml:space="preserve"> изложить в новой редакции:</w:t>
      </w:r>
    </w:p>
    <w:p w:rsidR="00F47248" w:rsidRDefault="00F47248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309"/>
        <w:gridCol w:w="1701"/>
      </w:tblGrid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"27.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27.1.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350000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27.2.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Средняя численность наемных работников 1 - 5 чел.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500000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27.3.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  <w:jc w:val="both"/>
            </w:pPr>
            <w:r>
              <w:t>Средняя численность наемных работников 6 - 15 чел.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1000000";</w:t>
            </w:r>
          </w:p>
        </w:tc>
      </w:tr>
    </w:tbl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ind w:firstLine="540"/>
        <w:jc w:val="both"/>
      </w:pPr>
      <w:r>
        <w:t xml:space="preserve">5) </w:t>
      </w:r>
      <w:hyperlink r:id="rId12" w:history="1">
        <w:r>
          <w:rPr>
            <w:color w:val="0000FF"/>
          </w:rPr>
          <w:t>пункт 46</w:t>
        </w:r>
      </w:hyperlink>
      <w:r>
        <w:t xml:space="preserve"> изложить в новой редакции:</w:t>
      </w:r>
    </w:p>
    <w:p w:rsidR="00F47248" w:rsidRDefault="00F47248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309"/>
        <w:gridCol w:w="1701"/>
      </w:tblGrid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"46.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залов: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46.1.1.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До 20 кв. м (включительно)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800000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46.1.2.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20 кв. м до 40 кв. м (включительно)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1600000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46.1.3.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40 кв. м до 60 кв. м (включительно)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2400000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46.1.4.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60 кв. м до 80 кв. м (включительно)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3200000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46.1.5.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 xml:space="preserve">Свыше 80 кв. м до 100 кв. м (включительно) площади объектов стационарной торговой сети по всем объектам организации </w:t>
            </w:r>
            <w:r>
              <w:lastRenderedPageBreak/>
              <w:t>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lastRenderedPageBreak/>
              <w:t>4000000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lastRenderedPageBreak/>
              <w:t>46.1.6.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100 кв. м до 200 кв. м (включительно)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4800000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46.1.7.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200 кв. м до 300 кв. м (включительно)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5600000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46.1.8.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300 кв. м до 400 кв. м (включительно)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6400000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46.1.9.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400 кв. м до 500 кв. м (включительно)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7200000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46.1.10.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500 кв. м площади объектов стационарной торговой сети по всем объектам организации торговли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10000000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46.2.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Розничная торговля, осуществляемая через объекты нестационарной торговой сети: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46.2.1.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На один объект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500000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46.2.2.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От 2 до 4 объектов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1500000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46.2.3.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От 5 до 7 объектов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3000000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46.2.4.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От 8 до 10 объектов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4500000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46.2.5.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От 11 до 15 объектов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6000000</w:t>
            </w:r>
          </w:p>
        </w:tc>
      </w:tr>
      <w:tr w:rsidR="00F47248">
        <w:tc>
          <w:tcPr>
            <w:tcW w:w="1247" w:type="dxa"/>
          </w:tcPr>
          <w:p w:rsidR="00F47248" w:rsidRDefault="00F47248">
            <w:pPr>
              <w:pStyle w:val="ConsPlusNormal"/>
            </w:pPr>
            <w:r>
              <w:t>46.2.6.</w:t>
            </w:r>
          </w:p>
        </w:tc>
        <w:tc>
          <w:tcPr>
            <w:tcW w:w="4309" w:type="dxa"/>
          </w:tcPr>
          <w:p w:rsidR="00F47248" w:rsidRDefault="00F47248">
            <w:pPr>
              <w:pStyle w:val="ConsPlusNormal"/>
            </w:pPr>
            <w:r>
              <w:t>Свыше 15 объектов</w:t>
            </w:r>
          </w:p>
        </w:tc>
        <w:tc>
          <w:tcPr>
            <w:tcW w:w="1701" w:type="dxa"/>
          </w:tcPr>
          <w:p w:rsidR="00F47248" w:rsidRDefault="00F47248">
            <w:pPr>
              <w:pStyle w:val="ConsPlusNormal"/>
            </w:pPr>
            <w:r>
              <w:t>10000000";</w:t>
            </w:r>
          </w:p>
        </w:tc>
      </w:tr>
    </w:tbl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ind w:firstLine="540"/>
        <w:jc w:val="both"/>
      </w:pPr>
      <w:r>
        <w:t xml:space="preserve">6)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F47248" w:rsidRDefault="00F47248">
      <w:pPr>
        <w:pStyle w:val="ConsPlusNormal"/>
        <w:ind w:firstLine="540"/>
        <w:jc w:val="both"/>
      </w:pPr>
      <w:proofErr w:type="gramStart"/>
      <w:r>
        <w:t>"Установленный настоящей статьей размер потенциально возможного к получению индивидуальным предпринимателем годового дохода применяется с учетом корректирующего коэффициента, учитывающего территорию действия патентов, указанного в приложении к настоящему Закону, за исключением патентов на осуществление видов предпринимательской деятельности, указанных в пунктах 10, 11, 32, 33, 46 (в части, касающейся развозной и разносной розничной торговли) таблицы настоящей статьи.".</w:t>
      </w:r>
      <w:proofErr w:type="gramEnd"/>
    </w:p>
    <w:p w:rsidR="00F47248" w:rsidRDefault="00F47248">
      <w:pPr>
        <w:pStyle w:val="ConsPlusNormal"/>
        <w:ind w:firstLine="540"/>
        <w:jc w:val="both"/>
      </w:pPr>
      <w:r>
        <w:t xml:space="preserve">2.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приложением согласно </w:t>
      </w:r>
      <w:hyperlink w:anchor="P159" w:history="1">
        <w:r>
          <w:rPr>
            <w:color w:val="0000FF"/>
          </w:rPr>
          <w:t>приложению</w:t>
        </w:r>
      </w:hyperlink>
      <w:r>
        <w:t xml:space="preserve"> к настоящему Закону.</w:t>
      </w:r>
    </w:p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ind w:firstLine="540"/>
        <w:jc w:val="both"/>
        <w:outlineLvl w:val="1"/>
      </w:pPr>
      <w:r>
        <w:t>Статья 2</w:t>
      </w:r>
    </w:p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ind w:firstLine="540"/>
        <w:jc w:val="both"/>
      </w:pPr>
      <w:r>
        <w:t>Настоящий Закон вступает в силу с 1 января 2015 года, но не ранее чем по истечении одного месяца со дня его официального опубликования.</w:t>
      </w:r>
    </w:p>
    <w:p w:rsidR="00F47248" w:rsidRDefault="00F47248">
      <w:pPr>
        <w:pStyle w:val="ConsPlusNormal"/>
        <w:jc w:val="right"/>
      </w:pPr>
    </w:p>
    <w:p w:rsidR="00F47248" w:rsidRDefault="00F47248">
      <w:pPr>
        <w:pStyle w:val="ConsPlusNormal"/>
        <w:jc w:val="right"/>
      </w:pPr>
      <w:r>
        <w:lastRenderedPageBreak/>
        <w:t>Губернатор</w:t>
      </w:r>
    </w:p>
    <w:p w:rsidR="00F47248" w:rsidRDefault="00F47248">
      <w:pPr>
        <w:pStyle w:val="ConsPlusNormal"/>
        <w:jc w:val="right"/>
      </w:pPr>
      <w:r>
        <w:t>Амурской области</w:t>
      </w:r>
    </w:p>
    <w:p w:rsidR="00F47248" w:rsidRDefault="00F47248">
      <w:pPr>
        <w:pStyle w:val="ConsPlusNormal"/>
        <w:jc w:val="right"/>
      </w:pPr>
      <w:r>
        <w:t>О.Н.КОЖЕМЯКО</w:t>
      </w:r>
    </w:p>
    <w:p w:rsidR="00F47248" w:rsidRDefault="00F47248">
      <w:pPr>
        <w:pStyle w:val="ConsPlusNormal"/>
      </w:pPr>
      <w:r>
        <w:t>г. Благовещенск</w:t>
      </w:r>
    </w:p>
    <w:p w:rsidR="00F47248" w:rsidRDefault="00F47248">
      <w:pPr>
        <w:pStyle w:val="ConsPlusNormal"/>
      </w:pPr>
      <w:r>
        <w:t>27 ноября 2014 года</w:t>
      </w:r>
    </w:p>
    <w:p w:rsidR="00F47248" w:rsidRDefault="00F47248">
      <w:pPr>
        <w:pStyle w:val="ConsPlusNormal"/>
      </w:pPr>
      <w:r>
        <w:t>N 441-ОЗ</w:t>
      </w:r>
    </w:p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Normal"/>
        <w:jc w:val="right"/>
      </w:pPr>
    </w:p>
    <w:p w:rsidR="00F47248" w:rsidRDefault="00F47248">
      <w:pPr>
        <w:pStyle w:val="ConsPlusNormal"/>
        <w:jc w:val="right"/>
      </w:pPr>
    </w:p>
    <w:p w:rsidR="00F47248" w:rsidRDefault="00F47248">
      <w:pPr>
        <w:pStyle w:val="ConsPlusNormal"/>
        <w:jc w:val="right"/>
      </w:pPr>
    </w:p>
    <w:p w:rsidR="00F47248" w:rsidRDefault="00F47248">
      <w:pPr>
        <w:pStyle w:val="ConsPlusNormal"/>
        <w:jc w:val="right"/>
      </w:pPr>
    </w:p>
    <w:p w:rsidR="00F47248" w:rsidRDefault="00F47248">
      <w:pPr>
        <w:pStyle w:val="ConsPlusNormal"/>
        <w:jc w:val="right"/>
        <w:outlineLvl w:val="0"/>
      </w:pPr>
      <w:r>
        <w:t>Приложение</w:t>
      </w:r>
    </w:p>
    <w:p w:rsidR="00F47248" w:rsidRDefault="00F47248">
      <w:pPr>
        <w:pStyle w:val="ConsPlusNormal"/>
        <w:jc w:val="right"/>
      </w:pPr>
      <w:r>
        <w:t>к Закону Амурской области</w:t>
      </w:r>
    </w:p>
    <w:p w:rsidR="00F47248" w:rsidRDefault="00F47248">
      <w:pPr>
        <w:pStyle w:val="ConsPlusNormal"/>
        <w:jc w:val="right"/>
      </w:pPr>
      <w:r>
        <w:t>от 27 ноября 2014 г. N 441-ОЗ</w:t>
      </w:r>
    </w:p>
    <w:p w:rsidR="00F47248" w:rsidRDefault="00F47248">
      <w:pPr>
        <w:pStyle w:val="ConsPlusNormal"/>
        <w:ind w:firstLine="540"/>
        <w:jc w:val="both"/>
      </w:pPr>
    </w:p>
    <w:p w:rsidR="00F47248" w:rsidRDefault="00F47248">
      <w:pPr>
        <w:pStyle w:val="ConsPlusTitle"/>
        <w:jc w:val="center"/>
      </w:pPr>
      <w:bookmarkStart w:id="1" w:name="P159"/>
      <w:bookmarkEnd w:id="1"/>
      <w:r>
        <w:t>ЗНАЧЕНИЕ КОРРЕКТИРУЮЩЕГО КОЭФФИЦИЕНТА, УЧИТЫВАЮЩЕГО</w:t>
      </w:r>
    </w:p>
    <w:p w:rsidR="00F47248" w:rsidRDefault="00F47248">
      <w:pPr>
        <w:pStyle w:val="ConsPlusTitle"/>
        <w:jc w:val="center"/>
      </w:pPr>
      <w:r>
        <w:t>ТЕРРИТОРИЮ ДЕЙСТВИЯ ПАТЕНТОВ</w:t>
      </w:r>
    </w:p>
    <w:p w:rsidR="00F47248" w:rsidRDefault="00F47248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535"/>
        <w:gridCol w:w="2494"/>
      </w:tblGrid>
      <w:tr w:rsidR="00F47248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>
            <w:pPr>
              <w:pStyle w:val="ConsPlusNormal"/>
              <w:jc w:val="center"/>
            </w:pPr>
            <w:r>
              <w:t>Территория действия патентов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>
            <w:pPr>
              <w:pStyle w:val="ConsPlusNormal"/>
              <w:jc w:val="center"/>
            </w:pPr>
            <w:r>
              <w:t>Значение корректирующего коэффициента</w:t>
            </w:r>
          </w:p>
        </w:tc>
      </w:tr>
      <w:tr w:rsidR="00F47248"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F47248" w:rsidRDefault="00F47248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47248" w:rsidRDefault="00F47248">
            <w:pPr>
              <w:pStyle w:val="ConsPlusNormal"/>
            </w:pPr>
            <w:r>
              <w:t>Муниципальные образования: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t>1,0</w:t>
            </w:r>
          </w:p>
        </w:tc>
      </w:tr>
      <w:tr w:rsidR="00F4724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>1.1.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proofErr w:type="gramStart"/>
            <w:r>
              <w:t xml:space="preserve">Городские округа: г. Белогорск, г. Благовещенск, г. </w:t>
            </w:r>
            <w:proofErr w:type="spellStart"/>
            <w:r>
              <w:t>Зея</w:t>
            </w:r>
            <w:proofErr w:type="spellEnd"/>
            <w:r>
              <w:t>, г. Свободный, г. Тында</w:t>
            </w:r>
            <w:proofErr w:type="gramEnd"/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>1.2.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 xml:space="preserve">Городские поселения: г. Завитинск, г. Сковородино, </w:t>
            </w:r>
            <w:proofErr w:type="spellStart"/>
            <w:r>
              <w:t>пгт</w:t>
            </w:r>
            <w:proofErr w:type="spellEnd"/>
            <w:r>
              <w:t xml:space="preserve"> Архара, </w:t>
            </w:r>
            <w:proofErr w:type="spellStart"/>
            <w:r>
              <w:t>пгт</w:t>
            </w:r>
            <w:proofErr w:type="spellEnd"/>
            <w:r>
              <w:t xml:space="preserve"> Магдагачи</w:t>
            </w: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>1.3.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 xml:space="preserve">Муниципальный район: </w:t>
            </w:r>
            <w:proofErr w:type="spellStart"/>
            <w:r>
              <w:t>Бурейский</w:t>
            </w:r>
            <w:proofErr w:type="spellEnd"/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t>1.4.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t xml:space="preserve">Сельские поселения: сельсоветы Екатеринославский, </w:t>
            </w:r>
            <w:proofErr w:type="spellStart"/>
            <w:r>
              <w:t>Новокиевский</w:t>
            </w:r>
            <w:proofErr w:type="spellEnd"/>
            <w:r>
              <w:t xml:space="preserve">, </w:t>
            </w:r>
            <w:proofErr w:type="spellStart"/>
            <w:r>
              <w:t>Поярковский</w:t>
            </w:r>
            <w:proofErr w:type="spellEnd"/>
            <w:r>
              <w:t>, Тамбовский</w:t>
            </w: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F47248" w:rsidRDefault="00F47248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47248" w:rsidRDefault="00F47248">
            <w:pPr>
              <w:pStyle w:val="ConsPlusNormal"/>
            </w:pPr>
            <w:r>
              <w:t>Муниципальные образования: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t>0,9</w:t>
            </w:r>
          </w:p>
        </w:tc>
      </w:tr>
      <w:tr w:rsidR="00F4724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>2.1.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 xml:space="preserve">Городские округа: г. Райчихинск, г. Шимановск, </w:t>
            </w:r>
            <w:proofErr w:type="spellStart"/>
            <w:r>
              <w:t>пгт</w:t>
            </w:r>
            <w:proofErr w:type="spellEnd"/>
            <w:r>
              <w:t xml:space="preserve"> Прогресс</w:t>
            </w: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>2.2.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 xml:space="preserve">Городские поселения: </w:t>
            </w:r>
            <w:proofErr w:type="spellStart"/>
            <w:r>
              <w:t>пгт</w:t>
            </w:r>
            <w:proofErr w:type="spellEnd"/>
            <w:r>
              <w:t xml:space="preserve"> Серышево, </w:t>
            </w:r>
            <w:proofErr w:type="spellStart"/>
            <w:r>
              <w:t>пгт</w:t>
            </w:r>
            <w:proofErr w:type="spellEnd"/>
            <w:r>
              <w:t xml:space="preserve"> Экимчан</w:t>
            </w: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>2.3.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 xml:space="preserve">Муниципальные районы: </w:t>
            </w:r>
            <w:proofErr w:type="spellStart"/>
            <w:r>
              <w:t>Архаринский</w:t>
            </w:r>
            <w:proofErr w:type="spellEnd"/>
            <w:r>
              <w:t xml:space="preserve"> (кроме городского поселения </w:t>
            </w:r>
            <w:proofErr w:type="spellStart"/>
            <w:r>
              <w:t>пгт</w:t>
            </w:r>
            <w:proofErr w:type="spellEnd"/>
            <w:r>
              <w:t xml:space="preserve"> Архара), </w:t>
            </w:r>
            <w:proofErr w:type="spellStart"/>
            <w:r>
              <w:t>Завитинский</w:t>
            </w:r>
            <w:proofErr w:type="spellEnd"/>
            <w:r>
              <w:t xml:space="preserve"> (кроме городского поселения г. Завитинск), </w:t>
            </w:r>
            <w:proofErr w:type="spellStart"/>
            <w:r>
              <w:t>Зейский</w:t>
            </w:r>
            <w:proofErr w:type="spellEnd"/>
            <w:r>
              <w:t xml:space="preserve">, </w:t>
            </w:r>
            <w:proofErr w:type="spellStart"/>
            <w:r>
              <w:t>Магдагачинский</w:t>
            </w:r>
            <w:proofErr w:type="spellEnd"/>
            <w:r>
              <w:t xml:space="preserve"> (кроме городского поселения </w:t>
            </w:r>
            <w:proofErr w:type="spellStart"/>
            <w:r>
              <w:t>пгт</w:t>
            </w:r>
            <w:proofErr w:type="spellEnd"/>
            <w:r>
              <w:t xml:space="preserve"> Магдагачи), </w:t>
            </w:r>
            <w:proofErr w:type="spellStart"/>
            <w:r>
              <w:t>Мазановский</w:t>
            </w:r>
            <w:proofErr w:type="spellEnd"/>
            <w:r>
              <w:t xml:space="preserve"> (кроме сельсовета </w:t>
            </w:r>
            <w:proofErr w:type="spellStart"/>
            <w:r>
              <w:t>Новокиевский</w:t>
            </w:r>
            <w:proofErr w:type="spellEnd"/>
            <w:r>
              <w:t xml:space="preserve">), Михайловский (кроме сельсовета </w:t>
            </w:r>
            <w:proofErr w:type="spellStart"/>
            <w:r>
              <w:t>Поярковский</w:t>
            </w:r>
            <w:proofErr w:type="spellEnd"/>
            <w:r>
              <w:t xml:space="preserve">), Октябрьский (кроме сельсовета Екатеринославский), </w:t>
            </w:r>
            <w:proofErr w:type="spellStart"/>
            <w:r>
              <w:t>Сковородинский</w:t>
            </w:r>
            <w:proofErr w:type="spellEnd"/>
            <w:r>
              <w:t xml:space="preserve"> (кроме городского поселения г. Сковородино), Тамбовский </w:t>
            </w:r>
            <w:r>
              <w:lastRenderedPageBreak/>
              <w:t>(кроме сельсовета Тамбовский), Тындинский</w:t>
            </w: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t xml:space="preserve">Сельские поселения: сельсоветы Ивановский, Константиновский, </w:t>
            </w:r>
            <w:proofErr w:type="spellStart"/>
            <w:r>
              <w:t>Ромненский</w:t>
            </w:r>
            <w:proofErr w:type="spellEnd"/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F47248" w:rsidRDefault="00F47248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47248" w:rsidRDefault="00F47248">
            <w:pPr>
              <w:pStyle w:val="ConsPlusNormal"/>
            </w:pPr>
            <w:r>
              <w:t>Муниципальные образования: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t>0,8</w:t>
            </w:r>
          </w:p>
        </w:tc>
      </w:tr>
      <w:tr w:rsidR="00F4724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>3.1.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47248" w:rsidRDefault="00F47248">
            <w:pPr>
              <w:pStyle w:val="ConsPlusNormal"/>
            </w:pPr>
            <w:r>
              <w:t xml:space="preserve">Городской </w:t>
            </w:r>
            <w:proofErr w:type="gramStart"/>
            <w:r>
              <w:t>округ</w:t>
            </w:r>
            <w:proofErr w:type="gramEnd"/>
            <w:r>
              <w:t xml:space="preserve"> ЗАТО п. Углегорск</w:t>
            </w: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  <w:tr w:rsidR="00F47248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t>3.2.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47248" w:rsidRDefault="00F47248">
            <w:pPr>
              <w:pStyle w:val="ConsPlusNormal"/>
            </w:pPr>
            <w:r>
              <w:t xml:space="preserve">Муниципальные районы: Белогорский, Благовещенский, Ивановский (кроме сельсовета Ивановский), Константиновский (кроме сельсовета Константиновский), </w:t>
            </w:r>
            <w:proofErr w:type="spellStart"/>
            <w:r>
              <w:t>Ромненский</w:t>
            </w:r>
            <w:proofErr w:type="spellEnd"/>
            <w:r>
              <w:t xml:space="preserve"> (кроме сельсовета </w:t>
            </w:r>
            <w:proofErr w:type="spellStart"/>
            <w:r>
              <w:t>Ромненский</w:t>
            </w:r>
            <w:proofErr w:type="spellEnd"/>
            <w:r>
              <w:t xml:space="preserve">), </w:t>
            </w:r>
            <w:proofErr w:type="spellStart"/>
            <w:r>
              <w:t>Свободненский</w:t>
            </w:r>
            <w:proofErr w:type="spellEnd"/>
            <w:r>
              <w:t xml:space="preserve">, </w:t>
            </w:r>
            <w:proofErr w:type="spellStart"/>
            <w:r>
              <w:t>Селемджинский</w:t>
            </w:r>
            <w:proofErr w:type="spellEnd"/>
            <w:r>
              <w:t xml:space="preserve"> (кроме городского поселения </w:t>
            </w:r>
            <w:proofErr w:type="spellStart"/>
            <w:r>
              <w:t>пгт</w:t>
            </w:r>
            <w:proofErr w:type="spellEnd"/>
            <w:r>
              <w:t xml:space="preserve"> Экимчан), </w:t>
            </w:r>
            <w:proofErr w:type="spellStart"/>
            <w:r>
              <w:t>Серышевский</w:t>
            </w:r>
            <w:proofErr w:type="spellEnd"/>
            <w:r>
              <w:t xml:space="preserve"> (кроме городского поселения </w:t>
            </w:r>
            <w:proofErr w:type="spellStart"/>
            <w:r>
              <w:t>пгт</w:t>
            </w:r>
            <w:proofErr w:type="spellEnd"/>
            <w:r>
              <w:t xml:space="preserve"> Серышево), Шимановский</w:t>
            </w: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248" w:rsidRDefault="00F47248"/>
        </w:tc>
      </w:tr>
    </w:tbl>
    <w:p w:rsidR="00F47248" w:rsidRDefault="00F47248">
      <w:pPr>
        <w:pStyle w:val="ConsPlusNormal"/>
      </w:pPr>
    </w:p>
    <w:p w:rsidR="00F47248" w:rsidRDefault="00F47248">
      <w:pPr>
        <w:pStyle w:val="ConsPlusNormal"/>
      </w:pPr>
    </w:p>
    <w:p w:rsidR="00F47248" w:rsidRDefault="00F4724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C0032" w:rsidRDefault="006C0032"/>
    <w:sectPr w:rsidR="006C0032" w:rsidSect="004F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48"/>
    <w:rsid w:val="006C0032"/>
    <w:rsid w:val="00F4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2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2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84BAD5C741245D45E74DEBD5FB15AC1445B255072B6C6943C49B28089DF9D40FBAq2s4G" TargetMode="External"/><Relationship Id="rId13" Type="http://schemas.openxmlformats.org/officeDocument/2006/relationships/hyperlink" Target="consultantplus://offline/ref=CEA9D7622C7A03B5352784BAD5C741245D45E74DEBD5FB15AC1445B255072B6C6943C49B28089DF9D40FBEq2s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84BAD5C741245D45E74DEBD5FB15AC1445B255072B6C6943C49B28089DF9D40FBEq2sCG" TargetMode="External"/><Relationship Id="rId12" Type="http://schemas.openxmlformats.org/officeDocument/2006/relationships/hyperlink" Target="consultantplus://offline/ref=CEA9D7622C7A03B5352784BAD5C741245D45E74DEBD5FB15AC1445B255072B6C6943C49B28089FqFs1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A9D7622C7A03B5352784BAD5C741245D45E74DEBD5FB15AC1445B255072B6C6943C49B28089DF9D40FBEq2sDG" TargetMode="External"/><Relationship Id="rId11" Type="http://schemas.openxmlformats.org/officeDocument/2006/relationships/hyperlink" Target="consultantplus://offline/ref=CEA9D7622C7A03B5352784BAD5C741245D45E74DEBD5FB15AC1445B255072B6C6943C49B28089DF9D40EB6q2s4G" TargetMode="External"/><Relationship Id="rId5" Type="http://schemas.openxmlformats.org/officeDocument/2006/relationships/hyperlink" Target="consultantplus://offline/ref=CEA9D7622C7A03B5352784BAD5C741245D45E74DEBD5FB15AC1445B255072B6Cq6s9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A9D7622C7A03B5352784BAD5C741245D45E74DEBD5FB15AC1445B255072B6C6943C49B28089DF9D40FB6q2s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A9D7622C7A03B5352784BAD5C741245D45E74DEBD5FB15AC1445B255072B6C6943C49B28089DF9D40FB6q2s4G" TargetMode="External"/><Relationship Id="rId14" Type="http://schemas.openxmlformats.org/officeDocument/2006/relationships/hyperlink" Target="consultantplus://offline/ref=CEA9D7622C7A03B5352784BAD5C741245D45E74DEBD5FB15AC1445B255072B6Cq6s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Наталья Яковлевна</dc:creator>
  <cp:lastModifiedBy>Шабанова Наталья Яковлевна</cp:lastModifiedBy>
  <cp:revision>1</cp:revision>
  <dcterms:created xsi:type="dcterms:W3CDTF">2016-10-13T06:44:00Z</dcterms:created>
  <dcterms:modified xsi:type="dcterms:W3CDTF">2016-10-13T06:45:00Z</dcterms:modified>
</cp:coreProperties>
</file>