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D5" w:rsidRPr="003305D5" w:rsidRDefault="003305D5" w:rsidP="0033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>30 мая 2022 года 107-ОЗ</w:t>
      </w:r>
    </w:p>
    <w:p w:rsidR="003305D5" w:rsidRPr="003305D5" w:rsidRDefault="003305D5" w:rsidP="0033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3305D5" w:rsidRPr="003305D5" w:rsidRDefault="003305D5" w:rsidP="00330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05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ЗАКОН АМУРСКОЙ ОБЛАСТИ </w:t>
      </w:r>
    </w:p>
    <w:p w:rsidR="003305D5" w:rsidRPr="003305D5" w:rsidRDefault="003305D5" w:rsidP="003305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05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05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ОТДЕЛЬНЫЕ ЗАКОНОДАТЕЛЬНЫЕ АКТЫ </w:t>
      </w:r>
    </w:p>
    <w:p w:rsidR="003305D5" w:rsidRPr="003305D5" w:rsidRDefault="003305D5" w:rsidP="003305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05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АМУРСКОЙ ОБЛАСТИ В СФЕРЕ НАЛОГООБЛОЖЕНИЯ </w:t>
      </w:r>
    </w:p>
    <w:p w:rsidR="003305D5" w:rsidRPr="003305D5" w:rsidRDefault="003305D5" w:rsidP="00330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5D5" w:rsidRPr="003305D5" w:rsidRDefault="003305D5" w:rsidP="00330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Законодательным Собранием </w:t>
      </w:r>
    </w:p>
    <w:p w:rsidR="003305D5" w:rsidRPr="003305D5" w:rsidRDefault="003305D5" w:rsidP="00330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Амурской области </w:t>
      </w:r>
    </w:p>
    <w:p w:rsidR="003305D5" w:rsidRPr="003305D5" w:rsidRDefault="003305D5" w:rsidP="00330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мая 2022 года </w:t>
      </w:r>
    </w:p>
    <w:p w:rsidR="003305D5" w:rsidRPr="003305D5" w:rsidRDefault="003305D5" w:rsidP="00330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Действие ст. 1 </w:t>
      </w:r>
      <w:hyperlink w:anchor="p124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распространяется</w:t>
        </w:r>
      </w:hyperlink>
      <w:r w:rsidRPr="003305D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на правоотношения, возникшие с 01.01.2021.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4"/>
      <w:bookmarkEnd w:id="0"/>
      <w:r w:rsidRPr="003305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</w:t>
      </w: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5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Амурской области от 9 октября 2012 г. N 93-ОЗ "О патентной системе налогообложения на территории Амурской области" (с учетом изменений, внесенных Законами Амурской области от 8 октября 2013 г. N 232-ОЗ, от 27 ноября 2014 г. N 441-ОЗ, от 5 мая 2015 г. N 525-ОЗ, от 8 октября 2015 г. N 593-ОЗ, от 28 декабря 2016 г</w:t>
      </w:r>
      <w:proofErr w:type="gramEnd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>N 45-ОЗ, от 31 марта 2017 г. N 56-ОЗ, от 10 июня 2019 г. N 368-ОЗ, от 22 ноября 2019 г. N 430-ОЗ, от 3 апреля 2020 г. N 491-ОЗ, от 13 мая 2020 г. N 520-ОЗ, от 30 июня 2020 г. N 550-ОЗ, от 2 декабря 2020 г. N 633-ОЗ, от 25 декабря 2020 г. N 683-ОЗ, от 5</w:t>
      </w:r>
      <w:proofErr w:type="gramEnd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2021 г. N 694-ОЗ, от 8 июня 2021 г. N 740-ОЗ, от 11 октября 2021 г. N 7-ОЗ) следующие изменения: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hyperlink r:id="rId6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7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строку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таблицы: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3305D5" w:rsidRPr="003305D5" w:rsidTr="003305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05D5" w:rsidRPr="003305D5" w:rsidRDefault="003305D5" w:rsidP="003305D5">
            <w:pPr>
              <w:spacing w:after="100" w:line="240" w:lineRule="auto"/>
              <w:jc w:val="center"/>
              <w:divId w:val="5455346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 1 квадратный метр площади сдаваемых в аренду (наем) собственного или арендованного жилого помещения и (или) нежилого помещения (включая выставочные залы, складские помещения), земельных участков, объекта стационарной торговой сети, объекта организации общественного питания" </w:t>
            </w:r>
          </w:p>
        </w:tc>
      </w:tr>
    </w:tbl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новой редакции: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3305D5" w:rsidRPr="003305D5" w:rsidTr="003305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05D5" w:rsidRPr="003305D5" w:rsidRDefault="003305D5" w:rsidP="003305D5">
            <w:pPr>
              <w:spacing w:after="100" w:line="240" w:lineRule="auto"/>
              <w:jc w:val="center"/>
              <w:divId w:val="1427388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 1 квадратный метр площади сдаваемых в аренду (наем) собственного или арендованного жилого помещения и (или) нежилого помещения (включая выставочные залы, складские помещения), земельных участков, торгового зала объекта стационарной торговой сети, имеющего торговый зал, объекта стационарной торговой сети, не имеющего торгового зала, зала </w:t>
            </w:r>
            <w:proofErr w:type="gramStart"/>
            <w:r w:rsidRPr="0033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посетителей объекта организации общественного питания</w:t>
            </w:r>
            <w:proofErr w:type="gramEnd"/>
            <w:r w:rsidRPr="0033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"; </w:t>
            </w:r>
          </w:p>
        </w:tc>
      </w:tr>
    </w:tbl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8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последнем абзаце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"с 2022 года" заменить словами "с 2023 года".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2</w:t>
      </w:r>
    </w:p>
    <w:p w:rsidR="003305D5" w:rsidRPr="003305D5" w:rsidRDefault="003305D5" w:rsidP="00330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в </w:t>
      </w:r>
      <w:hyperlink r:id="rId9" w:history="1">
        <w:r w:rsidRPr="003305D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статье 2</w:t>
        </w:r>
      </w:hyperlink>
      <w:proofErr w:type="gramStart"/>
      <w:r w:rsidRPr="00330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:</w:t>
      </w:r>
      <w:proofErr w:type="gramEnd"/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10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4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>"4) по виду предпринимательской деятельности, установленному подпунктом 76 таблицы статьи 2 настоящего Закона, площадь торгового зала объектов стационарной торговой сети за налоговый период не должна превышать 350 квадратных метров</w:t>
      </w:r>
      <w:proofErr w:type="gramStart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3305D5" w:rsidRPr="003305D5" w:rsidRDefault="003305D5" w:rsidP="00330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1</w:t>
      </w:r>
    </w:p>
    <w:p w:rsidR="003305D5" w:rsidRPr="003305D5" w:rsidRDefault="003305D5" w:rsidP="00330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</w:t>
      </w:r>
      <w:hyperlink r:id="rId11" w:history="1">
        <w:r w:rsidRPr="003305D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дополнить</w:t>
        </w:r>
      </w:hyperlink>
      <w:r w:rsidRPr="00330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пунктом 4  следующего содержания:</w:t>
      </w:r>
    </w:p>
    <w:p w:rsidR="003305D5" w:rsidRPr="003305D5" w:rsidRDefault="003305D5" w:rsidP="00330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1</w:t>
      </w:r>
    </w:p>
    <w:p w:rsidR="003305D5" w:rsidRPr="003305D5" w:rsidRDefault="003305D5" w:rsidP="00330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"4</w:t>
      </w:r>
      <w:proofErr w:type="gramStart"/>
      <w:r w:rsidRPr="00330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</w:t>
      </w:r>
      <w:proofErr w:type="gramEnd"/>
      <w:r w:rsidRPr="003305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  виду   предпринимательской   деятельности,   установленному</w:t>
      </w:r>
    </w:p>
    <w:p w:rsidR="003305D5" w:rsidRPr="003305D5" w:rsidRDefault="003305D5" w:rsidP="00330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5D5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 77  таблицы  статьи 2 настоящего Закона, общая площадь объектов</w:t>
      </w:r>
    </w:p>
    <w:p w:rsidR="003305D5" w:rsidRPr="003305D5" w:rsidRDefault="003305D5" w:rsidP="00330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5D5">
        <w:rPr>
          <w:rFonts w:ascii="Courier New" w:eastAsia="Times New Roman" w:hAnsi="Courier New" w:cs="Courier New"/>
          <w:sz w:val="20"/>
          <w:szCs w:val="20"/>
          <w:lang w:eastAsia="ru-RU"/>
        </w:rPr>
        <w:t>стационарной  торговой  сети  за  налоговый  период не должна превышать 350</w:t>
      </w:r>
    </w:p>
    <w:p w:rsidR="003305D5" w:rsidRPr="003305D5" w:rsidRDefault="003305D5" w:rsidP="00330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5D5">
        <w:rPr>
          <w:rFonts w:ascii="Courier New" w:eastAsia="Times New Roman" w:hAnsi="Courier New" w:cs="Courier New"/>
          <w:sz w:val="20"/>
          <w:szCs w:val="20"/>
          <w:lang w:eastAsia="ru-RU"/>
        </w:rPr>
        <w:t>квадратных метров</w:t>
      </w:r>
      <w:proofErr w:type="gramStart"/>
      <w:r w:rsidRPr="003305D5">
        <w:rPr>
          <w:rFonts w:ascii="Courier New" w:eastAsia="Times New Roman" w:hAnsi="Courier New" w:cs="Courier New"/>
          <w:sz w:val="20"/>
          <w:szCs w:val="20"/>
          <w:lang w:eastAsia="ru-RU"/>
        </w:rPr>
        <w:t>;"</w:t>
      </w:r>
      <w:proofErr w:type="gramEnd"/>
      <w:r w:rsidRPr="003305D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12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5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"5) по виду предпринимательской деятельности, установленному подпунктом 78 таблицы статьи 2 настоящего Закона, площадь </w:t>
      </w:r>
      <w:proofErr w:type="gramStart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 обслуживания посетителей объектов организации общественного питания</w:t>
      </w:r>
      <w:proofErr w:type="gramEnd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налоговый период не должна превышать 600 квадратных метров;".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</w:t>
      </w: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13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Амурской области от 5 мая 2015 г. N 528-ОЗ "Об установлении нулевой ставки налога, взимаемого в связи с применением упрощенной системы налогообложения, для налогоплательщиков - индивидуальных предпринимателей" (с учетом изменений, внесенных Законами Амурской области от 3 октября 2019 г. N 406-ОЗ, от 30 июня 2020 г. N 550-ОЗ, от 3 ноября 2020 г. N 604-ОЗ) следующие изменения: </w:t>
      </w:r>
      <w:proofErr w:type="gramEnd"/>
    </w:p>
    <w:p w:rsidR="003305D5" w:rsidRPr="003305D5" w:rsidRDefault="003305D5" w:rsidP="003305D5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Действие п. 1 ст. 2 </w:t>
      </w:r>
      <w:hyperlink w:anchor="p125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распространяется</w:t>
        </w:r>
      </w:hyperlink>
      <w:r w:rsidRPr="003305D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на правоотношения, возникшие с 01.01.2022.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9"/>
      <w:bookmarkEnd w:id="1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4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частью 4 следующего содержания: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Установить налоговую ставку по налогу, взимаемому в связи с применением упрощенной системы налогообложения, в размере 0 процентов для налогоплательщиков - индивидуальных предпринимателей, впервые зарегистрированных после 1 января 2022 года и осуществляющих следующие виды предпринимательской деятельности: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производство текстильных изделий;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производство кожи и изделий из кожи;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производство бумаги и бумажных изделий;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производство резиновых и пластмассовых изделий;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производство мебели;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производство компьютеров, электронных и оптических изделий;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разработка компьютерного программного обеспечения;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деятельность консультативная и работы в области компьютерных технологий;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деятельность по обработке данных, предоставление услуг по размещению информации и связанная с этим деятельность.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Налогоплательщики, указанные в настоящей части, вправе применять налоговую ставку в размере 0 процентов со дня их государственной регистрации в качестве индивидуальных предпринимателей при условии, что средняя численность работников, определяемая в порядке, установленном федеральным органом исполнительной власти, уполномоченным в области статистики, за один налоговый период не превышает 15 человек</w:t>
      </w:r>
      <w:proofErr w:type="gramStart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."; </w:t>
      </w:r>
      <w:proofErr w:type="gramEnd"/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hyperlink r:id="rId15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"до 1 января 2024 года" заменить словами "до 1 января 2025 года".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Ст. 3 </w:t>
      </w:r>
      <w:hyperlink w:anchor="p125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распространяется</w:t>
        </w:r>
      </w:hyperlink>
      <w:r w:rsidRPr="003305D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на правоотношения, возникшие с 01.01.2022, и применяется по 31.12.2022 включительно.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64"/>
      <w:bookmarkEnd w:id="2"/>
      <w:r w:rsidRPr="003305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</w:t>
      </w: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16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Амурской области от 3 апреля 2020 г. N 492-ОЗ "Об установлении налоговых ставок по налогу, взимаемому в связи с применением упрощенной системы налогообложения, в зависимости от категорий налогоплательщиков" (с учетом изменений, внесенных Законами Амурской области от 13 мая 2020 г. N 520-ОЗ, </w:t>
      </w: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30 июня 2020 г. N 550-ОЗ, от 3 ноября 2020 г. N</w:t>
      </w:r>
      <w:proofErr w:type="gramEnd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604-ОЗ, от 11 октября 2021 г. N 6-ОЗ, от 28 февраля 2022 г. N 73-ОЗ) следующие изменения: </w:t>
      </w:r>
      <w:proofErr w:type="gramEnd"/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hyperlink r:id="rId17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4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"4) 1 процент для организаций и индивидуальных предпринимателей, осуществляющих основной вид экономической деятельности в соответствии со следующими кодами Общероссийского </w:t>
      </w:r>
      <w:hyperlink r:id="rId19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классификатора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деятельности: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49.31.21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"Регулярные перевозки пассажиров автобусами в городском и пригородном сообщении";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49.39.11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"Регулярные перевозки пассажиров автобусами в междугородном сообщении";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56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по предоставлению продуктов питания и напитков";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59.14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в области демонстрации кинофильмов";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62.01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"Разработка компьютерного программного обеспечения";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62.02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консультативная и работы в области компьютерных технологий";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63.11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по обработке данных, предоставление услуг по размещению информации и связанная с этим деятельность";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90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творческая, деятельность в области искусства и организации развлечений";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91.02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музеев";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93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в области спорта, отдыха и развлечений";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96.04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физкультурно-оздоровительная"</w:t>
      </w:r>
      <w:proofErr w:type="gramStart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дополнить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8 следующего содержания: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"8) 3 процента для организаций и индивидуальных предпринимателей, осуществляющих основной вид экономической деятельности в соответствии со следующими кодами Общероссийского </w:t>
      </w:r>
      <w:hyperlink r:id="rId32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классификатора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деятельности: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18.11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"Печатание газет";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18.12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"Прочие виды полиграфической деятельности";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47.62.1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"Торговля розничная газетами и журналами в специализированных магазинах";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58.13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"Издание газет";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58.14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"Издание журналов и периодических изданий";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58.19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"Виды издательской деятельности прочие";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60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в области телевизионного и радиовещания";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63.91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информационных агентств";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73.11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рекламных агентств"</w:t>
      </w:r>
      <w:proofErr w:type="gramStart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42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 части 2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"3) осуществляющих основной вид экономической деятельности в соответствии со следующими кодами Общероссийского </w:t>
      </w:r>
      <w:hyperlink r:id="rId43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классификатора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деятельности: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49.31.21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"Регулярные перевозки пассажиров автобусами в городском и пригородном сообщении";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49.39.11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"Регулярные перевозки пассажиров автобусами в междугородном сообщении";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56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по предоставлению продуктов питания и напитков";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59.14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в области демонстрации кинофильмов";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62.01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"Разработка компьютерного программного обеспечения";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62.02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консультативная и работы в области компьютерных технологий";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63.11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по обработке данных, предоставление услуг по размещению информации и связанная с этим деятельность";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90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творческая, деятельность в области искусства и организации развлечений";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91.02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музеев";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93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в области спорта, отдыха и развлечений";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96.04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физкультурно-оздоровительная"</w:t>
      </w:r>
      <w:proofErr w:type="gramStart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55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дополнить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6 следующего содержания: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"6. </w:t>
      </w:r>
      <w:proofErr w:type="gramStart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налоговые ставки по налогу, взимаемому в связи с применением упрощенной системы налогообложения, в случае, если объектом налогообложения являются доходы, уменьшенные на величину расходов, в размере 7,5 процента для организаций и индивидуальных предпринимателей, осуществляющих основной вид экономической деятельности в соответствии со следующими кодами Общероссийского </w:t>
      </w:r>
      <w:hyperlink r:id="rId56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классификатора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деятельности: </w:t>
      </w:r>
      <w:proofErr w:type="gramEnd"/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18.11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"Печатание газет";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18.12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"Прочие виды полиграфической деятельности";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47.62.1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"Торговля розничная газетами и журналами в специализированных магазинах";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58.13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"Издание газет";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58.14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"Издание журналов и периодических изданий";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58.19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"Виды издательской деятельности прочие";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60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в области телевизионного и радиовещания";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63.91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информационных агентств";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73.11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"Деятельность рекламных агентств"</w:t>
      </w:r>
      <w:proofErr w:type="gramStart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</w:t>
      </w: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часть 2 статьи 2 Закона Амурской области от 25 декабря 2020 г. N 683-ОЗ "О внесении изменений в Закон Амурской области "О патентной системе налогообложения на территории Амурской области" изменение, заменив </w:t>
      </w:r>
      <w:hyperlink r:id="rId66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слова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 1 января 2024 года" словами "до 1 января 2025 года".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</w:t>
      </w: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Закон вступает в силу со дня его официального опубликования.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24"/>
      <w:bookmarkEnd w:id="3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Действие положений </w:t>
      </w:r>
      <w:hyperlink w:anchor="p14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 распространяется на правоотношения, возникшие с 1 января 2021 года.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25"/>
      <w:bookmarkEnd w:id="4"/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Действие положений </w:t>
      </w:r>
      <w:hyperlink w:anchor="p49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 статьи 2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64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 распространяется на правоотношения, возникшие с 1 января 2022 года. </w:t>
      </w:r>
    </w:p>
    <w:p w:rsidR="003305D5" w:rsidRPr="003305D5" w:rsidRDefault="003305D5" w:rsidP="003305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Положения </w:t>
      </w:r>
      <w:hyperlink w:anchor="p64" w:history="1">
        <w:r w:rsidRPr="00330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</w:t>
        </w:r>
      </w:hyperlink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 применяются по 31 декабря 2022 года включительно. </w:t>
      </w:r>
    </w:p>
    <w:p w:rsidR="003305D5" w:rsidRPr="003305D5" w:rsidRDefault="003305D5" w:rsidP="00330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D5" w:rsidRPr="003305D5" w:rsidRDefault="003305D5" w:rsidP="00330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 </w:t>
      </w:r>
    </w:p>
    <w:p w:rsidR="003305D5" w:rsidRPr="003305D5" w:rsidRDefault="003305D5" w:rsidP="00330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Амурской области </w:t>
      </w:r>
    </w:p>
    <w:p w:rsidR="003305D5" w:rsidRPr="003305D5" w:rsidRDefault="003305D5" w:rsidP="00330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В.А.ОРЛОВ </w:t>
      </w:r>
    </w:p>
    <w:p w:rsidR="003305D5" w:rsidRPr="003305D5" w:rsidRDefault="003305D5" w:rsidP="0033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Благовещенск </w:t>
      </w:r>
    </w:p>
    <w:p w:rsidR="003305D5" w:rsidRPr="003305D5" w:rsidRDefault="003305D5" w:rsidP="0033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2022 года </w:t>
      </w:r>
    </w:p>
    <w:p w:rsidR="003305D5" w:rsidRPr="003305D5" w:rsidRDefault="003305D5" w:rsidP="0033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107-ОЗ </w:t>
      </w:r>
    </w:p>
    <w:p w:rsidR="00D15867" w:rsidRDefault="003305D5">
      <w:bookmarkStart w:id="5" w:name="_GoBack"/>
      <w:bookmarkEnd w:id="5"/>
    </w:p>
    <w:sectPr w:rsidR="00D1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D5"/>
    <w:rsid w:val="003305D5"/>
    <w:rsid w:val="00AE14AC"/>
    <w:rsid w:val="00D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5D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30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05D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5D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30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05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52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5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4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772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69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7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0&amp;n=124839&amp;date=28.06.2022" TargetMode="External"/><Relationship Id="rId18" Type="http://schemas.openxmlformats.org/officeDocument/2006/relationships/hyperlink" Target="https://login.consultant.ru/link/?req=doc&amp;base=RLAW080&amp;n=137480&amp;dst=100167&amp;field=134&amp;date=28.06.2022" TargetMode="External"/><Relationship Id="rId26" Type="http://schemas.openxmlformats.org/officeDocument/2006/relationships/hyperlink" Target="https://login.consultant.ru/link/?req=doc&amp;base=LAW&amp;n=412118&amp;dst=104531&amp;field=134&amp;date=28.06.2022" TargetMode="External"/><Relationship Id="rId39" Type="http://schemas.openxmlformats.org/officeDocument/2006/relationships/hyperlink" Target="https://login.consultant.ru/link/?req=doc&amp;base=LAW&amp;n=412118&amp;dst=104432&amp;field=134&amp;date=28.06.2022" TargetMode="External"/><Relationship Id="rId21" Type="http://schemas.openxmlformats.org/officeDocument/2006/relationships/hyperlink" Target="https://login.consultant.ru/link/?req=doc&amp;base=LAW&amp;n=412118&amp;dst=21&amp;field=134&amp;date=28.06.2022" TargetMode="External"/><Relationship Id="rId34" Type="http://schemas.openxmlformats.org/officeDocument/2006/relationships/hyperlink" Target="https://login.consultant.ru/link/?req=doc&amp;base=LAW&amp;n=412118&amp;dst=101425&amp;field=134&amp;date=28.06.2022" TargetMode="External"/><Relationship Id="rId42" Type="http://schemas.openxmlformats.org/officeDocument/2006/relationships/hyperlink" Target="https://login.consultant.ru/link/?req=doc&amp;base=RLAW080&amp;n=137480&amp;dst=100176&amp;field=134&amp;date=28.06.2022" TargetMode="External"/><Relationship Id="rId47" Type="http://schemas.openxmlformats.org/officeDocument/2006/relationships/hyperlink" Target="https://login.consultant.ru/link/?req=doc&amp;base=LAW&amp;n=412118&amp;dst=104420&amp;field=134&amp;date=28.06.2022" TargetMode="External"/><Relationship Id="rId50" Type="http://schemas.openxmlformats.org/officeDocument/2006/relationships/hyperlink" Target="https://login.consultant.ru/link/?req=doc&amp;base=LAW&amp;n=412118&amp;dst=104531&amp;field=134&amp;date=28.06.2022" TargetMode="External"/><Relationship Id="rId55" Type="http://schemas.openxmlformats.org/officeDocument/2006/relationships/hyperlink" Target="https://login.consultant.ru/link/?req=doc&amp;base=RLAW080&amp;n=137480&amp;dst=100007&amp;field=134&amp;date=28.06.2022" TargetMode="External"/><Relationship Id="rId63" Type="http://schemas.openxmlformats.org/officeDocument/2006/relationships/hyperlink" Target="https://login.consultant.ru/link/?req=doc&amp;base=LAW&amp;n=412118&amp;dst=104432&amp;field=134&amp;date=28.06.202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80&amp;n=133494&amp;dst=101451&amp;field=134&amp;date=28.06.2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80&amp;n=137480&amp;dst=100007&amp;field=134&amp;date=28.06.2022" TargetMode="External"/><Relationship Id="rId29" Type="http://schemas.openxmlformats.org/officeDocument/2006/relationships/hyperlink" Target="https://login.consultant.ru/link/?req=doc&amp;base=LAW&amp;n=412118&amp;dst=105507&amp;field=134&amp;date=28.06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0&amp;n=133494&amp;dst=101065&amp;field=134&amp;date=28.06.2022" TargetMode="External"/><Relationship Id="rId11" Type="http://schemas.openxmlformats.org/officeDocument/2006/relationships/hyperlink" Target="https://login.consultant.ru/link/?req=doc&amp;base=RLAW080&amp;n=133494&amp;dst=101499&amp;field=134&amp;date=28.06.2022" TargetMode="External"/><Relationship Id="rId24" Type="http://schemas.openxmlformats.org/officeDocument/2006/relationships/hyperlink" Target="https://login.consultant.ru/link/?req=doc&amp;base=LAW&amp;n=412118&amp;dst=104498&amp;field=134&amp;date=28.06.2022" TargetMode="External"/><Relationship Id="rId32" Type="http://schemas.openxmlformats.org/officeDocument/2006/relationships/hyperlink" Target="https://login.consultant.ru/link/?req=doc&amp;base=LAW&amp;n=412118&amp;date=28.06.2022" TargetMode="External"/><Relationship Id="rId37" Type="http://schemas.openxmlformats.org/officeDocument/2006/relationships/hyperlink" Target="https://login.consultant.ru/link/?req=doc&amp;base=LAW&amp;n=412118&amp;dst=104395&amp;field=134&amp;date=28.06.2022" TargetMode="External"/><Relationship Id="rId40" Type="http://schemas.openxmlformats.org/officeDocument/2006/relationships/hyperlink" Target="https://login.consultant.ru/link/?req=doc&amp;base=LAW&amp;n=412118&amp;dst=104543&amp;field=134&amp;date=28.06.2022" TargetMode="External"/><Relationship Id="rId45" Type="http://schemas.openxmlformats.org/officeDocument/2006/relationships/hyperlink" Target="https://login.consultant.ru/link/?req=doc&amp;base=LAW&amp;n=412118&amp;dst=21&amp;field=134&amp;date=28.06.2022" TargetMode="External"/><Relationship Id="rId53" Type="http://schemas.openxmlformats.org/officeDocument/2006/relationships/hyperlink" Target="https://login.consultant.ru/link/?req=doc&amp;base=LAW&amp;n=412118&amp;dst=105507&amp;field=134&amp;date=28.06.2022" TargetMode="External"/><Relationship Id="rId58" Type="http://schemas.openxmlformats.org/officeDocument/2006/relationships/hyperlink" Target="https://login.consultant.ru/link/?req=doc&amp;base=LAW&amp;n=412118&amp;dst=101425&amp;field=134&amp;date=28.06.2022" TargetMode="External"/><Relationship Id="rId66" Type="http://schemas.openxmlformats.org/officeDocument/2006/relationships/hyperlink" Target="https://login.consultant.ru/link/?req=doc&amp;base=RLAW080&amp;n=126121&amp;dst=100467&amp;field=134&amp;date=28.06.2022" TargetMode="External"/><Relationship Id="rId5" Type="http://schemas.openxmlformats.org/officeDocument/2006/relationships/hyperlink" Target="https://login.consultant.ru/link/?req=doc&amp;base=RLAW080&amp;n=133494&amp;date=28.06.2022" TargetMode="External"/><Relationship Id="rId15" Type="http://schemas.openxmlformats.org/officeDocument/2006/relationships/hyperlink" Target="https://login.consultant.ru/link/?req=doc&amp;base=RLAW080&amp;n=124839&amp;dst=100031&amp;field=134&amp;date=28.06.2022" TargetMode="External"/><Relationship Id="rId23" Type="http://schemas.openxmlformats.org/officeDocument/2006/relationships/hyperlink" Target="https://login.consultant.ru/link/?req=doc&amp;base=LAW&amp;n=412118&amp;dst=104420&amp;field=134&amp;date=28.06.2022" TargetMode="External"/><Relationship Id="rId28" Type="http://schemas.openxmlformats.org/officeDocument/2006/relationships/hyperlink" Target="https://login.consultant.ru/link/?req=doc&amp;base=LAW&amp;n=412118&amp;dst=105470&amp;field=134&amp;date=28.06.2022" TargetMode="External"/><Relationship Id="rId36" Type="http://schemas.openxmlformats.org/officeDocument/2006/relationships/hyperlink" Target="https://login.consultant.ru/link/?req=doc&amp;base=LAW&amp;n=412118&amp;dst=104389&amp;field=134&amp;date=28.06.2022" TargetMode="External"/><Relationship Id="rId49" Type="http://schemas.openxmlformats.org/officeDocument/2006/relationships/hyperlink" Target="https://login.consultant.ru/link/?req=doc&amp;base=LAW&amp;n=412118&amp;dst=104500&amp;field=134&amp;date=28.06.2022" TargetMode="External"/><Relationship Id="rId57" Type="http://schemas.openxmlformats.org/officeDocument/2006/relationships/hyperlink" Target="https://login.consultant.ru/link/?req=doc&amp;base=LAW&amp;n=412118&amp;dst=101423&amp;field=134&amp;date=28.06.2022" TargetMode="External"/><Relationship Id="rId61" Type="http://schemas.openxmlformats.org/officeDocument/2006/relationships/hyperlink" Target="https://login.consultant.ru/link/?req=doc&amp;base=LAW&amp;n=412118&amp;dst=104395&amp;field=134&amp;date=28.06.2022" TargetMode="External"/><Relationship Id="rId10" Type="http://schemas.openxmlformats.org/officeDocument/2006/relationships/hyperlink" Target="https://login.consultant.ru/link/?req=doc&amp;base=RLAW080&amp;n=133494&amp;dst=101503&amp;field=134&amp;date=28.06.2022" TargetMode="External"/><Relationship Id="rId19" Type="http://schemas.openxmlformats.org/officeDocument/2006/relationships/hyperlink" Target="https://login.consultant.ru/link/?req=doc&amp;base=LAW&amp;n=412118&amp;date=28.06.2022" TargetMode="External"/><Relationship Id="rId31" Type="http://schemas.openxmlformats.org/officeDocument/2006/relationships/hyperlink" Target="https://login.consultant.ru/link/?req=doc&amp;base=RLAW080&amp;n=137480&amp;dst=100008&amp;field=134&amp;date=28.06.2022" TargetMode="External"/><Relationship Id="rId44" Type="http://schemas.openxmlformats.org/officeDocument/2006/relationships/hyperlink" Target="https://login.consultant.ru/link/?req=doc&amp;base=LAW&amp;n=412118&amp;dst=7&amp;field=134&amp;date=28.06.2022" TargetMode="External"/><Relationship Id="rId52" Type="http://schemas.openxmlformats.org/officeDocument/2006/relationships/hyperlink" Target="https://login.consultant.ru/link/?req=doc&amp;base=LAW&amp;n=412118&amp;dst=105470&amp;field=134&amp;date=28.06.2022" TargetMode="External"/><Relationship Id="rId60" Type="http://schemas.openxmlformats.org/officeDocument/2006/relationships/hyperlink" Target="https://login.consultant.ru/link/?req=doc&amp;base=LAW&amp;n=412118&amp;dst=104389&amp;field=134&amp;date=28.06.2022" TargetMode="External"/><Relationship Id="rId65" Type="http://schemas.openxmlformats.org/officeDocument/2006/relationships/hyperlink" Target="https://login.consultant.ru/link/?req=doc&amp;base=LAW&amp;n=412118&amp;dst=104953&amp;field=134&amp;date=28.06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0&amp;n=133494&amp;dst=101498&amp;field=134&amp;date=28.06.2022" TargetMode="External"/><Relationship Id="rId14" Type="http://schemas.openxmlformats.org/officeDocument/2006/relationships/hyperlink" Target="https://login.consultant.ru/link/?req=doc&amp;base=RLAW080&amp;n=124839&amp;dst=100006&amp;field=134&amp;date=28.06.2022" TargetMode="External"/><Relationship Id="rId22" Type="http://schemas.openxmlformats.org/officeDocument/2006/relationships/hyperlink" Target="https://login.consultant.ru/link/?req=doc&amp;base=LAW&amp;n=412118&amp;dst=104326&amp;field=134&amp;date=28.06.2022" TargetMode="External"/><Relationship Id="rId27" Type="http://schemas.openxmlformats.org/officeDocument/2006/relationships/hyperlink" Target="https://login.consultant.ru/link/?req=doc&amp;base=LAW&amp;n=412118&amp;dst=105444&amp;field=134&amp;date=28.06.2022" TargetMode="External"/><Relationship Id="rId30" Type="http://schemas.openxmlformats.org/officeDocument/2006/relationships/hyperlink" Target="https://login.consultant.ru/link/?req=doc&amp;base=LAW&amp;n=412118&amp;dst=105871&amp;field=134&amp;date=28.06.2022" TargetMode="External"/><Relationship Id="rId35" Type="http://schemas.openxmlformats.org/officeDocument/2006/relationships/hyperlink" Target="https://login.consultant.ru/link/?req=doc&amp;base=LAW&amp;n=412118&amp;dst=103756&amp;field=134&amp;date=28.06.2022" TargetMode="External"/><Relationship Id="rId43" Type="http://schemas.openxmlformats.org/officeDocument/2006/relationships/hyperlink" Target="https://login.consultant.ru/link/?req=doc&amp;base=LAW&amp;n=412118&amp;date=28.06.2022" TargetMode="External"/><Relationship Id="rId48" Type="http://schemas.openxmlformats.org/officeDocument/2006/relationships/hyperlink" Target="https://login.consultant.ru/link/?req=doc&amp;base=LAW&amp;n=412118&amp;dst=104498&amp;field=134&amp;date=28.06.2022" TargetMode="External"/><Relationship Id="rId56" Type="http://schemas.openxmlformats.org/officeDocument/2006/relationships/hyperlink" Target="https://login.consultant.ru/link/?req=doc&amp;base=LAW&amp;n=412118&amp;date=28.06.2022" TargetMode="External"/><Relationship Id="rId64" Type="http://schemas.openxmlformats.org/officeDocument/2006/relationships/hyperlink" Target="https://login.consultant.ru/link/?req=doc&amp;base=LAW&amp;n=412118&amp;dst=104543&amp;field=134&amp;date=28.06.2022" TargetMode="External"/><Relationship Id="rId8" Type="http://schemas.openxmlformats.org/officeDocument/2006/relationships/hyperlink" Target="https://login.consultant.ru/link/?req=doc&amp;base=RLAW080&amp;n=133494&amp;dst=101494&amp;field=134&amp;date=28.06.2022" TargetMode="External"/><Relationship Id="rId51" Type="http://schemas.openxmlformats.org/officeDocument/2006/relationships/hyperlink" Target="https://login.consultant.ru/link/?req=doc&amp;base=LAW&amp;n=412118&amp;dst=105444&amp;field=134&amp;date=28.06.20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80&amp;n=133494&amp;dst=101504&amp;field=134&amp;date=28.06.2022" TargetMode="External"/><Relationship Id="rId17" Type="http://schemas.openxmlformats.org/officeDocument/2006/relationships/hyperlink" Target="https://login.consultant.ru/link/?req=doc&amp;base=RLAW080&amp;n=137480&amp;dst=100008&amp;field=134&amp;date=28.06.2022" TargetMode="External"/><Relationship Id="rId25" Type="http://schemas.openxmlformats.org/officeDocument/2006/relationships/hyperlink" Target="https://login.consultant.ru/link/?req=doc&amp;base=LAW&amp;n=412118&amp;dst=104500&amp;field=134&amp;date=28.06.2022" TargetMode="External"/><Relationship Id="rId33" Type="http://schemas.openxmlformats.org/officeDocument/2006/relationships/hyperlink" Target="https://login.consultant.ru/link/?req=doc&amp;base=LAW&amp;n=412118&amp;dst=101423&amp;field=134&amp;date=28.06.2022" TargetMode="External"/><Relationship Id="rId38" Type="http://schemas.openxmlformats.org/officeDocument/2006/relationships/hyperlink" Target="https://login.consultant.ru/link/?req=doc&amp;base=LAW&amp;n=412118&amp;dst=105815&amp;field=134&amp;date=28.06.2022" TargetMode="External"/><Relationship Id="rId46" Type="http://schemas.openxmlformats.org/officeDocument/2006/relationships/hyperlink" Target="https://login.consultant.ru/link/?req=doc&amp;base=LAW&amp;n=412118&amp;dst=104326&amp;field=134&amp;date=28.06.2022" TargetMode="External"/><Relationship Id="rId59" Type="http://schemas.openxmlformats.org/officeDocument/2006/relationships/hyperlink" Target="https://login.consultant.ru/link/?req=doc&amp;base=LAW&amp;n=412118&amp;dst=103756&amp;field=134&amp;date=28.06.202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12118&amp;dst=7&amp;field=134&amp;date=28.06.2022" TargetMode="External"/><Relationship Id="rId41" Type="http://schemas.openxmlformats.org/officeDocument/2006/relationships/hyperlink" Target="https://login.consultant.ru/link/?req=doc&amp;base=LAW&amp;n=412118&amp;dst=104953&amp;field=134&amp;date=28.06.2022" TargetMode="External"/><Relationship Id="rId54" Type="http://schemas.openxmlformats.org/officeDocument/2006/relationships/hyperlink" Target="https://login.consultant.ru/link/?req=doc&amp;base=LAW&amp;n=412118&amp;dst=105871&amp;field=134&amp;date=28.06.2022" TargetMode="External"/><Relationship Id="rId62" Type="http://schemas.openxmlformats.org/officeDocument/2006/relationships/hyperlink" Target="https://login.consultant.ru/link/?req=doc&amp;base=LAW&amp;n=412118&amp;dst=105815&amp;field=134&amp;date=28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1Internet</dc:creator>
  <cp:lastModifiedBy>1Internet</cp:lastModifiedBy>
  <cp:revision>1</cp:revision>
  <dcterms:created xsi:type="dcterms:W3CDTF">2022-06-28T05:23:00Z</dcterms:created>
  <dcterms:modified xsi:type="dcterms:W3CDTF">2022-06-28T05:24:00Z</dcterms:modified>
</cp:coreProperties>
</file>