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52DC" w:rsidTr="00AD79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52DC" w:rsidRDefault="009F52DC">
            <w:pPr>
              <w:pStyle w:val="ConsPlusNormal"/>
              <w:outlineLvl w:val="0"/>
            </w:pPr>
            <w:r>
              <w:t>2 октября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F52DC" w:rsidRDefault="009F52DC">
            <w:pPr>
              <w:pStyle w:val="ConsPlusNormal"/>
              <w:jc w:val="right"/>
              <w:outlineLvl w:val="0"/>
            </w:pPr>
            <w:r>
              <w:t> 225-ОЗ</w:t>
            </w:r>
          </w:p>
        </w:tc>
      </w:tr>
    </w:tbl>
    <w:p w:rsidR="009F52DC" w:rsidRDefault="009F52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52DC" w:rsidRDefault="009F52DC">
      <w:pPr>
        <w:pStyle w:val="ConsPlusNormal"/>
        <w:jc w:val="center"/>
      </w:pPr>
    </w:p>
    <w:p w:rsidR="009F52DC" w:rsidRDefault="009F52DC">
      <w:pPr>
        <w:pStyle w:val="ConsPlusTitle"/>
        <w:jc w:val="center"/>
      </w:pPr>
      <w:r>
        <w:t>ЗАКОН АМУРСКОЙ ОБЛАСТИ</w:t>
      </w:r>
    </w:p>
    <w:p w:rsidR="009F52DC" w:rsidRDefault="009F52DC">
      <w:pPr>
        <w:pStyle w:val="ConsPlusTitle"/>
        <w:jc w:val="center"/>
      </w:pPr>
    </w:p>
    <w:p w:rsidR="009F52DC" w:rsidRDefault="009F52DC">
      <w:pPr>
        <w:pStyle w:val="ConsPlusTitle"/>
        <w:jc w:val="center"/>
      </w:pPr>
      <w:r>
        <w:t xml:space="preserve">О </w:t>
      </w:r>
      <w:r w:rsidR="00AD7954">
        <w:t>внесении изменений в Закон Амурской области</w:t>
      </w:r>
    </w:p>
    <w:p w:rsidR="009F52DC" w:rsidRDefault="00AD7954">
      <w:pPr>
        <w:pStyle w:val="ConsPlusTitle"/>
        <w:jc w:val="center"/>
      </w:pPr>
      <w:r>
        <w:t>"О транспортном налоге на территории</w:t>
      </w:r>
    </w:p>
    <w:p w:rsidR="009F52DC" w:rsidRDefault="00AD7954">
      <w:pPr>
        <w:pStyle w:val="ConsPlusTitle"/>
        <w:jc w:val="center"/>
      </w:pPr>
      <w:r>
        <w:t>Амурской области"</w:t>
      </w:r>
    </w:p>
    <w:p w:rsidR="009F52DC" w:rsidRDefault="009F52DC">
      <w:pPr>
        <w:pStyle w:val="ConsPlusNormal"/>
        <w:jc w:val="center"/>
      </w:pPr>
    </w:p>
    <w:p w:rsidR="009F52DC" w:rsidRDefault="009F52DC">
      <w:pPr>
        <w:pStyle w:val="ConsPlusNormal"/>
        <w:ind w:firstLine="540"/>
        <w:jc w:val="both"/>
      </w:pPr>
    </w:p>
    <w:p w:rsidR="009F52DC" w:rsidRPr="00AD7954" w:rsidRDefault="009F52DC">
      <w:pPr>
        <w:pStyle w:val="ConsPlusTitle"/>
        <w:ind w:firstLine="540"/>
        <w:jc w:val="both"/>
        <w:outlineLvl w:val="1"/>
      </w:pPr>
      <w:r w:rsidRPr="00AD7954">
        <w:t>Статья 1</w:t>
      </w:r>
    </w:p>
    <w:p w:rsidR="009F52DC" w:rsidRPr="00AD7954" w:rsidRDefault="009F52DC">
      <w:pPr>
        <w:pStyle w:val="ConsPlusNormal"/>
        <w:ind w:firstLine="540"/>
        <w:jc w:val="both"/>
      </w:pPr>
    </w:p>
    <w:p w:rsidR="009F52DC" w:rsidRPr="00AD7954" w:rsidRDefault="009F52DC">
      <w:pPr>
        <w:pStyle w:val="ConsPlusNormal"/>
        <w:ind w:firstLine="540"/>
        <w:jc w:val="both"/>
      </w:pPr>
      <w:r w:rsidRPr="00AD7954">
        <w:t>Внести в Закон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95-ОЗ) следующие изменения:</w:t>
      </w:r>
    </w:p>
    <w:p w:rsidR="009F52DC" w:rsidRPr="00AD7954" w:rsidRDefault="009F52DC">
      <w:pPr>
        <w:pStyle w:val="ConsPlusNormal"/>
        <w:spacing w:before="220"/>
        <w:ind w:firstLine="540"/>
        <w:jc w:val="both"/>
      </w:pPr>
      <w:r w:rsidRPr="00AD7954">
        <w:t>1. В пункте 1 статьи 2 таблицу изложить в новой редакции согласно приложению к настоящему Закону.</w:t>
      </w:r>
    </w:p>
    <w:p w:rsidR="009F52DC" w:rsidRPr="00AD7954" w:rsidRDefault="009F52DC">
      <w:pPr>
        <w:pStyle w:val="ConsPlusNormal"/>
        <w:spacing w:before="220"/>
        <w:ind w:firstLine="540"/>
        <w:jc w:val="both"/>
      </w:pPr>
      <w:r w:rsidRPr="00AD7954">
        <w:t>2. В пункте 2 статьи 4:</w:t>
      </w:r>
    </w:p>
    <w:p w:rsidR="009F52DC" w:rsidRPr="00AD7954" w:rsidRDefault="009F52DC">
      <w:pPr>
        <w:pStyle w:val="ConsPlusNormal"/>
        <w:spacing w:before="220"/>
        <w:ind w:firstLine="540"/>
        <w:jc w:val="both"/>
      </w:pPr>
      <w:r w:rsidRPr="00AD7954">
        <w:t>1) в абзаце первом слова "по месту жительства налогоплательщика в срок не позднее 1 июня года налогового периода" заменить словами "налогоплательщику не позднее 30 дней до наступления срока уплаты налога";</w:t>
      </w:r>
    </w:p>
    <w:p w:rsidR="009F52DC" w:rsidRPr="00AD7954" w:rsidRDefault="009F52DC">
      <w:pPr>
        <w:pStyle w:val="ConsPlusNormal"/>
        <w:spacing w:after="1"/>
      </w:pPr>
    </w:p>
    <w:p w:rsidR="009F52DC" w:rsidRPr="00AD7954" w:rsidRDefault="009F52DC">
      <w:pPr>
        <w:pStyle w:val="ConsPlusNormal"/>
        <w:spacing w:before="280"/>
        <w:ind w:firstLine="540"/>
        <w:jc w:val="both"/>
      </w:pPr>
      <w:bookmarkStart w:id="0" w:name="P23"/>
      <w:bookmarkEnd w:id="0"/>
      <w:r w:rsidRPr="00AD7954">
        <w:t>2) абзац второй изложить в новой редакции: "Налогоплательщики, являющиеся физическими лицами, уплачивают налог в срок не позднее 30 марта года, следующего за истекшим налоговым периодом.";</w:t>
      </w:r>
    </w:p>
    <w:p w:rsidR="009F52DC" w:rsidRPr="00AD7954" w:rsidRDefault="009F52DC">
      <w:pPr>
        <w:pStyle w:val="ConsPlusNormal"/>
        <w:spacing w:before="220"/>
        <w:ind w:firstLine="540"/>
        <w:jc w:val="both"/>
      </w:pPr>
      <w:r w:rsidRPr="00AD7954">
        <w:t>3) абзацы третий, четвертый, пятый признать утратившими силу.</w:t>
      </w:r>
    </w:p>
    <w:p w:rsidR="009F52DC" w:rsidRPr="00AD7954" w:rsidRDefault="009F52DC">
      <w:pPr>
        <w:pStyle w:val="ConsPlusNormal"/>
        <w:ind w:firstLine="540"/>
        <w:jc w:val="both"/>
      </w:pPr>
    </w:p>
    <w:p w:rsidR="009F52DC" w:rsidRPr="00AD7954" w:rsidRDefault="009F52DC">
      <w:pPr>
        <w:pStyle w:val="ConsPlusTitle"/>
        <w:ind w:firstLine="540"/>
        <w:jc w:val="both"/>
        <w:outlineLvl w:val="1"/>
      </w:pPr>
      <w:r w:rsidRPr="00AD7954">
        <w:t>Статья 2</w:t>
      </w:r>
    </w:p>
    <w:p w:rsidR="009F52DC" w:rsidRPr="00AD7954" w:rsidRDefault="009F52DC">
      <w:pPr>
        <w:pStyle w:val="ConsPlusNormal"/>
        <w:ind w:firstLine="540"/>
        <w:jc w:val="both"/>
      </w:pPr>
    </w:p>
    <w:p w:rsidR="009F52DC" w:rsidRPr="00AD7954" w:rsidRDefault="009F52DC">
      <w:pPr>
        <w:pStyle w:val="ConsPlusNormal"/>
        <w:ind w:firstLine="540"/>
        <w:jc w:val="both"/>
      </w:pPr>
      <w:r w:rsidRPr="00AD7954">
        <w:t>1. Настоящий Закон вступает в силу по истечении одного месяца со дня его первого официального опубликования, но не ранее 1-го числа очередного налогового периода по транспортному налогу.</w:t>
      </w:r>
    </w:p>
    <w:p w:rsidR="009F52DC" w:rsidRPr="00AD7954" w:rsidRDefault="009F52DC">
      <w:pPr>
        <w:pStyle w:val="ConsPlusNormal"/>
        <w:spacing w:before="220"/>
        <w:ind w:firstLine="540"/>
        <w:jc w:val="both"/>
      </w:pPr>
      <w:bookmarkStart w:id="1" w:name="P29"/>
      <w:bookmarkEnd w:id="1"/>
      <w:r w:rsidRPr="00AD7954">
        <w:t>2. Действие пункта 2 части 2 статьи 1 настоящего Закона распространяется на правоотношения, возникшие с 1 января 2006 года.</w:t>
      </w:r>
    </w:p>
    <w:p w:rsidR="009F52DC" w:rsidRDefault="009F52DC">
      <w:pPr>
        <w:pStyle w:val="ConsPlusNormal"/>
        <w:ind w:firstLine="540"/>
        <w:jc w:val="both"/>
      </w:pPr>
    </w:p>
    <w:p w:rsidR="009F52DC" w:rsidRDefault="009F52DC">
      <w:pPr>
        <w:pStyle w:val="ConsPlusNormal"/>
        <w:jc w:val="right"/>
      </w:pPr>
      <w:r>
        <w:t>Губернатор</w:t>
      </w:r>
    </w:p>
    <w:p w:rsidR="009F52DC" w:rsidRDefault="009F52DC">
      <w:pPr>
        <w:pStyle w:val="ConsPlusNormal"/>
        <w:jc w:val="right"/>
      </w:pPr>
      <w:r>
        <w:t>Амурской области</w:t>
      </w:r>
    </w:p>
    <w:p w:rsidR="009F52DC" w:rsidRDefault="009F52DC">
      <w:pPr>
        <w:pStyle w:val="ConsPlusNormal"/>
        <w:jc w:val="right"/>
      </w:pPr>
      <w:r>
        <w:t>Л.В.КОРОТКОВ</w:t>
      </w:r>
    </w:p>
    <w:p w:rsidR="009F52DC" w:rsidRDefault="009F52DC">
      <w:pPr>
        <w:pStyle w:val="ConsPlusNormal"/>
      </w:pPr>
      <w:r>
        <w:t>г. Благовещенск</w:t>
      </w:r>
    </w:p>
    <w:p w:rsidR="009F52DC" w:rsidRDefault="009F52DC">
      <w:pPr>
        <w:pStyle w:val="ConsPlusNormal"/>
        <w:spacing w:before="220"/>
      </w:pPr>
      <w:r>
        <w:t>2 октября 2006 года</w:t>
      </w:r>
    </w:p>
    <w:p w:rsidR="009F52DC" w:rsidRDefault="009F52DC">
      <w:pPr>
        <w:pStyle w:val="ConsPlusNormal"/>
        <w:spacing w:before="220"/>
      </w:pPr>
      <w:r>
        <w:t>N 225-ОЗ</w:t>
      </w:r>
    </w:p>
    <w:p w:rsidR="009F52DC" w:rsidRDefault="009F52DC">
      <w:pPr>
        <w:pStyle w:val="ConsPlusNormal"/>
        <w:jc w:val="right"/>
      </w:pPr>
    </w:p>
    <w:p w:rsidR="00AD7954" w:rsidRDefault="00AD7954">
      <w:pPr>
        <w:pStyle w:val="ConsPlusNormal"/>
        <w:jc w:val="right"/>
        <w:outlineLvl w:val="0"/>
      </w:pPr>
    </w:p>
    <w:p w:rsidR="00AD7954" w:rsidRDefault="00AD7954">
      <w:pPr>
        <w:pStyle w:val="ConsPlusNormal"/>
        <w:jc w:val="right"/>
        <w:outlineLvl w:val="0"/>
      </w:pPr>
    </w:p>
    <w:p w:rsidR="00AD7954" w:rsidRDefault="00AD7954">
      <w:pPr>
        <w:pStyle w:val="ConsPlusNormal"/>
        <w:jc w:val="right"/>
        <w:outlineLvl w:val="0"/>
      </w:pPr>
    </w:p>
    <w:p w:rsidR="00AD7954" w:rsidRDefault="00AD7954">
      <w:pPr>
        <w:pStyle w:val="ConsPlusNormal"/>
        <w:jc w:val="right"/>
        <w:outlineLvl w:val="0"/>
      </w:pPr>
    </w:p>
    <w:p w:rsidR="009F52DC" w:rsidRDefault="009F52DC">
      <w:pPr>
        <w:pStyle w:val="ConsPlusNormal"/>
        <w:jc w:val="right"/>
        <w:outlineLvl w:val="0"/>
      </w:pPr>
      <w:r>
        <w:lastRenderedPageBreak/>
        <w:t>Приложение</w:t>
      </w:r>
    </w:p>
    <w:p w:rsidR="009F52DC" w:rsidRDefault="009F52DC">
      <w:pPr>
        <w:pStyle w:val="ConsPlusNormal"/>
        <w:jc w:val="right"/>
      </w:pPr>
      <w:r>
        <w:t>к Закону Амурской области</w:t>
      </w:r>
    </w:p>
    <w:p w:rsidR="009F52DC" w:rsidRDefault="009F52DC">
      <w:pPr>
        <w:pStyle w:val="ConsPlusNormal"/>
        <w:jc w:val="right"/>
      </w:pPr>
      <w:r>
        <w:t>от 2 октября 2006 г. N 225-ОЗ</w:t>
      </w:r>
    </w:p>
    <w:p w:rsidR="009F52DC" w:rsidRDefault="009F52D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30"/>
        <w:gridCol w:w="1694"/>
        <w:gridCol w:w="1694"/>
        <w:gridCol w:w="1331"/>
      </w:tblGrid>
      <w:tr w:rsidR="009F52DC">
        <w:trPr>
          <w:trHeight w:val="249"/>
        </w:trPr>
        <w:tc>
          <w:tcPr>
            <w:tcW w:w="3630" w:type="dxa"/>
            <w:vMerge w:val="restart"/>
          </w:tcPr>
          <w:p w:rsidR="009F52DC" w:rsidRDefault="009F52DC">
            <w:pPr>
              <w:pStyle w:val="ConsPlusNonformat"/>
              <w:jc w:val="both"/>
            </w:pPr>
            <w:r>
              <w:t xml:space="preserve">    Наименование объекта    </w:t>
            </w:r>
          </w:p>
        </w:tc>
        <w:tc>
          <w:tcPr>
            <w:tcW w:w="4719" w:type="dxa"/>
            <w:gridSpan w:val="3"/>
          </w:tcPr>
          <w:p w:rsidR="009F52DC" w:rsidRDefault="009F52DC">
            <w:pPr>
              <w:pStyle w:val="ConsPlusNonformat"/>
              <w:jc w:val="both"/>
            </w:pPr>
            <w:bookmarkStart w:id="2" w:name="P47"/>
            <w:bookmarkEnd w:id="2"/>
            <w:r>
              <w:t xml:space="preserve">    Налоговая ставка (в рублях)    </w:t>
            </w:r>
          </w:p>
        </w:tc>
      </w:tr>
      <w:tr w:rsidR="009F52DC">
        <w:tc>
          <w:tcPr>
            <w:tcW w:w="3509" w:type="dxa"/>
            <w:vMerge/>
            <w:tcBorders>
              <w:top w:val="nil"/>
            </w:tcBorders>
          </w:tcPr>
          <w:p w:rsidR="009F52DC" w:rsidRDefault="009F52DC">
            <w:pPr>
              <w:pStyle w:val="ConsPlusNormal"/>
            </w:pP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С учетом срока полезного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использования транспортных средств </w:t>
            </w:r>
          </w:p>
        </w:tc>
      </w:tr>
      <w:tr w:rsidR="009F52DC">
        <w:tc>
          <w:tcPr>
            <w:tcW w:w="3509" w:type="dxa"/>
            <w:vMerge/>
            <w:tcBorders>
              <w:top w:val="nil"/>
            </w:tcBorders>
          </w:tcPr>
          <w:p w:rsidR="009F52DC" w:rsidRDefault="009F52DC">
            <w:pPr>
              <w:pStyle w:val="ConsPlusNormal"/>
            </w:pP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до 5 лет  </w:t>
            </w:r>
          </w:p>
          <w:p w:rsidR="009F52DC" w:rsidRDefault="009F52DC">
            <w:pPr>
              <w:pStyle w:val="ConsPlusNonformat"/>
              <w:jc w:val="both"/>
            </w:pPr>
            <w:r>
              <w:t>включительно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свыше 5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  до 10 лет </w:t>
            </w:r>
          </w:p>
          <w:p w:rsidR="009F52DC" w:rsidRDefault="009F52DC">
            <w:pPr>
              <w:pStyle w:val="ConsPlusNonformat"/>
              <w:jc w:val="both"/>
            </w:pPr>
            <w:r>
              <w:t>включительно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свыше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 10 лет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1. Автомобили легковые с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мощностью двигателя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 каждой лошадиной силы):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100 л. с. (до 73,55 кВт)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22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11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8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свыше 100 л. с. до 150 л. с.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73,55 кВт до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110,33 кВт) включительно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30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18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10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свыше 150 л. с. до 200 л. с.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110,33 кВт до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147,1 кВт) включительно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45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30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15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свыше 200 л. с. до 250 л. с.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147,1 кВт до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183,9 кВт) включительно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75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45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23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250 л. с. (свыше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183,9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150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112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45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2. Мотоциклы и мотороллеры с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мощностью двигателя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 каждой лошадиной силы):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20 л. с. (до 14,7 кВт)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4 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20 л. с. до 35 л. с.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14,7 кВт до 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25,74 кВт) включительно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8 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35 л. с. (свыше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25,74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15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3. Автобусы с мощностью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двигателя (с каждой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лошадиной силы):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200 л. с. (до 147,1 кВт)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30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22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15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200 л. с. (свыше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147,1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45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37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4. Грузовые автомобили с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мощностью двигателя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 каждой лошадиной силы):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100 л. с. (до 73,55 кВт)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22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12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свыше 100 л. с. до 150 л. с.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73,55 кВт до         </w:t>
            </w:r>
          </w:p>
          <w:p w:rsidR="009F52DC" w:rsidRDefault="009F52DC">
            <w:pPr>
              <w:pStyle w:val="ConsPlusNonformat"/>
              <w:jc w:val="both"/>
            </w:pPr>
            <w:r>
              <w:lastRenderedPageBreak/>
              <w:t xml:space="preserve">110,33 кВт) включительно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lastRenderedPageBreak/>
              <w:t xml:space="preserve">     40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37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15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свыше 150 л. с. до 200 л. с.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110,33 кВт до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147,1 кВт) включительно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50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45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>свыше 200 л. с. до 250 л. с.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(свыше 147,1 кВт до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183,9 кВт) включительно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65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45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30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250 л. с. (свыше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183,9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75     </w:t>
            </w:r>
          </w:p>
        </w:tc>
        <w:tc>
          <w:tcPr>
            <w:tcW w:w="1694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60     </w:t>
            </w:r>
          </w:p>
        </w:tc>
        <w:tc>
          <w:tcPr>
            <w:tcW w:w="1331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45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5. Другие самоходные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транспортные средства,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машины и механизмы на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пневматическом и гусеничном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ходу (с каждой лошадиной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силы)       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7 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6. Снегоходы, мотосани с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мощностью двигателя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 каждой лошадиной силы):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50 л. с. (до 36,77 кВт)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7 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50 л. с. (свыше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36,77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15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7. Катера, моторные лодки и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другие водные транспортные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средства с мощностью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двигателя (с каждой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лошадиной силы):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100 л. с. (до 73,55 кВт)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20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100 л. с. (свыше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73,55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40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8. Яхты и другие </w:t>
            </w:r>
            <w:proofErr w:type="spellStart"/>
            <w:r>
              <w:t>парусно</w:t>
            </w:r>
            <w:proofErr w:type="spellEnd"/>
            <w:r>
              <w:t xml:space="preserve"> -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моторные суда с мощностью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двигателя (с каждой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лошадиной силы):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100 л. с. (до 73,55 кВт)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30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100 л. с. (свыше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73,55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60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9. Гидроциклы с мощностью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двигателя (с каждой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лошадиной силы):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до 100 л. с. (до 73,55 кВт)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включительно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37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свыше 100 л. с. (свыше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73,55 </w:t>
            </w:r>
            <w:proofErr w:type="gramStart"/>
            <w:r>
              <w:t xml:space="preserve">кВт)   </w:t>
            </w:r>
            <w:proofErr w:type="gramEnd"/>
            <w:r>
              <w:t xml:space="preserve">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75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10. Несамоходные   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(буксируемые) суда, для     </w:t>
            </w:r>
          </w:p>
          <w:p w:rsidR="009F52DC" w:rsidRDefault="009F52DC">
            <w:pPr>
              <w:pStyle w:val="ConsPlusNonformat"/>
              <w:jc w:val="both"/>
            </w:pPr>
            <w:r>
              <w:t>которых определяется валовая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вместимость (с каждой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регистровой тонны валовой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вместимости)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30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lastRenderedPageBreak/>
              <w:t xml:space="preserve">11. Самолеты, вертолеты и   </w:t>
            </w:r>
          </w:p>
          <w:p w:rsidR="009F52DC" w:rsidRDefault="009F52DC">
            <w:pPr>
              <w:pStyle w:val="ConsPlusNonformat"/>
              <w:jc w:val="both"/>
            </w:pPr>
            <w:r>
              <w:t>иные воздушные суда, имеющие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двигатели (с каждой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лошадиной силы)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50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11.1. Самолеты, имеющие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реактивные двигатели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(с каждого килограмма силы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тяги)                  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40               </w:t>
            </w:r>
          </w:p>
        </w:tc>
      </w:tr>
      <w:tr w:rsidR="009F52DC">
        <w:trPr>
          <w:trHeight w:val="249"/>
        </w:trPr>
        <w:tc>
          <w:tcPr>
            <w:tcW w:w="3630" w:type="dxa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12. Другие водные и 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воздушные транспортные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средства, не имеющие 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двигателей (с единицы       </w:t>
            </w:r>
          </w:p>
          <w:p w:rsidR="009F52DC" w:rsidRDefault="009F52DC">
            <w:pPr>
              <w:pStyle w:val="ConsPlusNonformat"/>
              <w:jc w:val="both"/>
            </w:pPr>
            <w:r>
              <w:t xml:space="preserve">транспортного средства)     </w:t>
            </w:r>
          </w:p>
        </w:tc>
        <w:tc>
          <w:tcPr>
            <w:tcW w:w="4719" w:type="dxa"/>
            <w:gridSpan w:val="3"/>
            <w:tcBorders>
              <w:top w:val="nil"/>
            </w:tcBorders>
          </w:tcPr>
          <w:p w:rsidR="009F52DC" w:rsidRDefault="009F52DC">
            <w:pPr>
              <w:pStyle w:val="ConsPlusNonformat"/>
              <w:jc w:val="both"/>
            </w:pPr>
            <w:r>
              <w:t xml:space="preserve">                  300              </w:t>
            </w:r>
          </w:p>
        </w:tc>
      </w:tr>
    </w:tbl>
    <w:p w:rsidR="009F52DC" w:rsidRDefault="009F52DC">
      <w:pPr>
        <w:pStyle w:val="ConsPlusNormal"/>
        <w:ind w:firstLine="540"/>
        <w:jc w:val="both"/>
      </w:pPr>
    </w:p>
    <w:p w:rsidR="009F52DC" w:rsidRDefault="009F52DC">
      <w:pPr>
        <w:pStyle w:val="ConsPlusNormal"/>
        <w:ind w:firstLine="540"/>
        <w:jc w:val="both"/>
      </w:pPr>
    </w:p>
    <w:p w:rsidR="009F52DC" w:rsidRDefault="009F52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71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2DC"/>
    <w:rsid w:val="00122277"/>
    <w:rsid w:val="00780A0C"/>
    <w:rsid w:val="009F52DC"/>
    <w:rsid w:val="00AD7954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B771"/>
  <w15:docId w15:val="{BDBE449C-3E1B-44CF-9497-8FA83916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52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52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52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2023-06-09T03:00:00Z</dcterms:created>
  <dcterms:modified xsi:type="dcterms:W3CDTF">2023-06-12T01:58:00Z</dcterms:modified>
</cp:coreProperties>
</file>