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C7B7C" w:rsidTr="003E68F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C7B7C" w:rsidRDefault="00AC7B7C">
            <w:pPr>
              <w:pStyle w:val="ConsPlusNormal"/>
              <w:outlineLvl w:val="0"/>
            </w:pPr>
            <w:r>
              <w:t>28 ноября 2003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C7B7C" w:rsidRDefault="00AC7B7C">
            <w:pPr>
              <w:pStyle w:val="ConsPlusNormal"/>
              <w:jc w:val="right"/>
              <w:outlineLvl w:val="0"/>
            </w:pPr>
            <w:r>
              <w:t>261-ОЗ</w:t>
            </w:r>
          </w:p>
        </w:tc>
      </w:tr>
    </w:tbl>
    <w:p w:rsidR="00AC7B7C" w:rsidRDefault="00AC7B7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7B7C" w:rsidRDefault="00AC7B7C">
      <w:pPr>
        <w:pStyle w:val="ConsPlusNormal"/>
      </w:pPr>
    </w:p>
    <w:p w:rsidR="00AC7B7C" w:rsidRDefault="00AC7B7C">
      <w:pPr>
        <w:pStyle w:val="ConsPlusTitle"/>
        <w:jc w:val="center"/>
      </w:pPr>
      <w:r>
        <w:t>ЗАКОН АМУРСКОЙ ОБЛАСТИ</w:t>
      </w:r>
    </w:p>
    <w:p w:rsidR="00AC7B7C" w:rsidRPr="003E68F5" w:rsidRDefault="00AC7B7C">
      <w:pPr>
        <w:pStyle w:val="ConsPlusTitle"/>
        <w:jc w:val="center"/>
      </w:pPr>
    </w:p>
    <w:p w:rsidR="00AC7B7C" w:rsidRPr="003E68F5" w:rsidRDefault="00AC7B7C">
      <w:pPr>
        <w:pStyle w:val="ConsPlusTitle"/>
        <w:jc w:val="center"/>
      </w:pPr>
      <w:r w:rsidRPr="003E68F5">
        <w:t xml:space="preserve">О </w:t>
      </w:r>
      <w:r w:rsidR="003E68F5" w:rsidRPr="003E68F5">
        <w:t>внесении изменений и дополнений в Закон Амурской</w:t>
      </w:r>
    </w:p>
    <w:p w:rsidR="00AC7B7C" w:rsidRPr="003E68F5" w:rsidRDefault="003E68F5">
      <w:pPr>
        <w:pStyle w:val="ConsPlusTitle"/>
        <w:jc w:val="center"/>
      </w:pPr>
      <w:r w:rsidRPr="003E68F5">
        <w:t>области "О транспортном налоге на территории</w:t>
      </w:r>
    </w:p>
    <w:p w:rsidR="00AC7B7C" w:rsidRPr="003E68F5" w:rsidRDefault="003E68F5">
      <w:pPr>
        <w:pStyle w:val="ConsPlusTitle"/>
        <w:jc w:val="center"/>
      </w:pPr>
      <w:r w:rsidRPr="003E68F5">
        <w:t>Амурской области"</w:t>
      </w:r>
    </w:p>
    <w:p w:rsidR="00AC7B7C" w:rsidRPr="003E68F5" w:rsidRDefault="00AC7B7C">
      <w:pPr>
        <w:pStyle w:val="ConsPlusNormal"/>
      </w:pPr>
    </w:p>
    <w:p w:rsidR="00AC7B7C" w:rsidRPr="003E68F5" w:rsidRDefault="00AC7B7C">
      <w:pPr>
        <w:pStyle w:val="ConsPlusNormal"/>
      </w:pPr>
    </w:p>
    <w:p w:rsidR="00AC7B7C" w:rsidRPr="003E68F5" w:rsidRDefault="00AC7B7C">
      <w:pPr>
        <w:pStyle w:val="ConsPlusTitle"/>
        <w:ind w:firstLine="540"/>
        <w:jc w:val="both"/>
        <w:outlineLvl w:val="1"/>
      </w:pPr>
      <w:r w:rsidRPr="003E68F5">
        <w:t>Статья 1</w:t>
      </w:r>
    </w:p>
    <w:p w:rsidR="00AC7B7C" w:rsidRPr="003E68F5" w:rsidRDefault="00AC7B7C">
      <w:pPr>
        <w:pStyle w:val="ConsPlusNormal"/>
      </w:pPr>
    </w:p>
    <w:p w:rsidR="00AC7B7C" w:rsidRPr="003E68F5" w:rsidRDefault="00AC7B7C">
      <w:pPr>
        <w:pStyle w:val="ConsPlusNormal"/>
        <w:ind w:firstLine="540"/>
        <w:jc w:val="both"/>
      </w:pPr>
      <w:r w:rsidRPr="003E68F5">
        <w:t>Внести в Закон Амурской области от 18 ноября 2002 г. N 142-ОЗ "О транспортном налоге на территории Амурской области" следующие изменения и дополнения:</w:t>
      </w:r>
    </w:p>
    <w:p w:rsidR="00AC7B7C" w:rsidRPr="003E68F5" w:rsidRDefault="00AC7B7C">
      <w:pPr>
        <w:pStyle w:val="ConsPlusNormal"/>
        <w:spacing w:before="220"/>
        <w:ind w:firstLine="540"/>
        <w:jc w:val="both"/>
      </w:pPr>
      <w:r w:rsidRPr="003E68F5">
        <w:t>1. В статье 2, в столбцах "Наименование объекта налогообложения" и "Налоговая ставка (в рублях)" пункты 1, 3 и 4 таблицы изложить в новой редакции:</w:t>
      </w:r>
    </w:p>
    <w:p w:rsidR="00AC7B7C" w:rsidRPr="003E68F5" w:rsidRDefault="00AC7B7C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356"/>
        <w:gridCol w:w="1694"/>
        <w:gridCol w:w="1694"/>
        <w:gridCol w:w="968"/>
      </w:tblGrid>
      <w:tr w:rsidR="003E68F5" w:rsidRPr="003E68F5">
        <w:trPr>
          <w:trHeight w:val="249"/>
        </w:trPr>
        <w:tc>
          <w:tcPr>
            <w:tcW w:w="4356" w:type="dxa"/>
            <w:vMerge w:val="restart"/>
          </w:tcPr>
          <w:p w:rsidR="00AC7B7C" w:rsidRPr="003E68F5" w:rsidRDefault="00AC7B7C">
            <w:pPr>
              <w:pStyle w:val="ConsPlusNonformat"/>
              <w:jc w:val="both"/>
            </w:pPr>
          </w:p>
        </w:tc>
        <w:tc>
          <w:tcPr>
            <w:tcW w:w="4356" w:type="dxa"/>
            <w:gridSpan w:val="3"/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   "С учетом срока полезного    </w:t>
            </w:r>
          </w:p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   использования транспортных   </w:t>
            </w:r>
          </w:p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             средств            </w:t>
            </w:r>
          </w:p>
        </w:tc>
      </w:tr>
      <w:tr w:rsidR="003E68F5" w:rsidRPr="003E68F5">
        <w:tc>
          <w:tcPr>
            <w:tcW w:w="4235" w:type="dxa"/>
            <w:vMerge/>
            <w:tcBorders>
              <w:top w:val="nil"/>
            </w:tcBorders>
          </w:tcPr>
          <w:p w:rsidR="00AC7B7C" w:rsidRPr="003E68F5" w:rsidRDefault="00AC7B7C">
            <w:pPr>
              <w:pStyle w:val="ConsPlusNormal"/>
            </w:pPr>
          </w:p>
        </w:tc>
        <w:tc>
          <w:tcPr>
            <w:tcW w:w="1694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  до 5 лет  </w:t>
            </w:r>
          </w:p>
          <w:p w:rsidR="00AC7B7C" w:rsidRPr="003E68F5" w:rsidRDefault="00AC7B7C">
            <w:pPr>
              <w:pStyle w:val="ConsPlusNonformat"/>
              <w:jc w:val="both"/>
            </w:pPr>
            <w:r w:rsidRPr="003E68F5">
              <w:t>включительно</w:t>
            </w:r>
          </w:p>
        </w:tc>
        <w:tc>
          <w:tcPr>
            <w:tcW w:w="1694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 свыше 5 до </w:t>
            </w:r>
          </w:p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   10 лет   </w:t>
            </w:r>
          </w:p>
          <w:p w:rsidR="00AC7B7C" w:rsidRPr="003E68F5" w:rsidRDefault="00AC7B7C">
            <w:pPr>
              <w:pStyle w:val="ConsPlusNonformat"/>
              <w:jc w:val="both"/>
            </w:pPr>
            <w:r w:rsidRPr="003E68F5">
              <w:t>включительно</w:t>
            </w:r>
          </w:p>
        </w:tc>
        <w:tc>
          <w:tcPr>
            <w:tcW w:w="968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 свыше</w:t>
            </w:r>
          </w:p>
          <w:p w:rsidR="00AC7B7C" w:rsidRPr="003E68F5" w:rsidRDefault="00AC7B7C">
            <w:pPr>
              <w:pStyle w:val="ConsPlusNonformat"/>
              <w:jc w:val="both"/>
            </w:pPr>
            <w:r w:rsidRPr="003E68F5">
              <w:t>10 лет</w:t>
            </w:r>
          </w:p>
        </w:tc>
      </w:tr>
      <w:tr w:rsidR="003E68F5" w:rsidRPr="003E68F5">
        <w:trPr>
          <w:trHeight w:val="249"/>
        </w:trPr>
        <w:tc>
          <w:tcPr>
            <w:tcW w:w="4356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1. Автомобили легковые с          </w:t>
            </w:r>
          </w:p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мощностью двигателя (с каждой     </w:t>
            </w:r>
          </w:p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лошадиной силы):                  </w:t>
            </w:r>
          </w:p>
        </w:tc>
        <w:tc>
          <w:tcPr>
            <w:tcW w:w="1694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</w:p>
        </w:tc>
        <w:tc>
          <w:tcPr>
            <w:tcW w:w="1694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</w:p>
        </w:tc>
        <w:tc>
          <w:tcPr>
            <w:tcW w:w="968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</w:p>
        </w:tc>
      </w:tr>
      <w:tr w:rsidR="003E68F5" w:rsidRPr="003E68F5">
        <w:trPr>
          <w:trHeight w:val="249"/>
        </w:trPr>
        <w:tc>
          <w:tcPr>
            <w:tcW w:w="4356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до 100 л.с. (до 73,55 кВт)        </w:t>
            </w:r>
          </w:p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включительно                      </w:t>
            </w:r>
          </w:p>
        </w:tc>
        <w:tc>
          <w:tcPr>
            <w:tcW w:w="1694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15          </w:t>
            </w:r>
          </w:p>
        </w:tc>
        <w:tc>
          <w:tcPr>
            <w:tcW w:w="1694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7           </w:t>
            </w:r>
          </w:p>
        </w:tc>
        <w:tc>
          <w:tcPr>
            <w:tcW w:w="968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5     </w:t>
            </w:r>
          </w:p>
        </w:tc>
      </w:tr>
      <w:tr w:rsidR="003E68F5" w:rsidRPr="003E68F5">
        <w:trPr>
          <w:trHeight w:val="249"/>
        </w:trPr>
        <w:tc>
          <w:tcPr>
            <w:tcW w:w="4356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свыше 100 л.с. до 150 л.с. (свыше </w:t>
            </w:r>
          </w:p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73,55 кВт до 110,33 кВт)          </w:t>
            </w:r>
          </w:p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включительно                      </w:t>
            </w:r>
          </w:p>
        </w:tc>
        <w:tc>
          <w:tcPr>
            <w:tcW w:w="1694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20          </w:t>
            </w:r>
          </w:p>
        </w:tc>
        <w:tc>
          <w:tcPr>
            <w:tcW w:w="1694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12          </w:t>
            </w:r>
          </w:p>
        </w:tc>
        <w:tc>
          <w:tcPr>
            <w:tcW w:w="968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7     </w:t>
            </w:r>
          </w:p>
        </w:tc>
      </w:tr>
      <w:tr w:rsidR="003E68F5" w:rsidRPr="003E68F5">
        <w:trPr>
          <w:trHeight w:val="249"/>
        </w:trPr>
        <w:tc>
          <w:tcPr>
            <w:tcW w:w="4356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свыше 150 л.с. до 200 л.с. (свыше </w:t>
            </w:r>
          </w:p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110,33 кВт до 147,1 кВт)          </w:t>
            </w:r>
          </w:p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включительно                      </w:t>
            </w:r>
          </w:p>
        </w:tc>
        <w:tc>
          <w:tcPr>
            <w:tcW w:w="1694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30          </w:t>
            </w:r>
          </w:p>
        </w:tc>
        <w:tc>
          <w:tcPr>
            <w:tcW w:w="1694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20          </w:t>
            </w:r>
          </w:p>
        </w:tc>
        <w:tc>
          <w:tcPr>
            <w:tcW w:w="968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10    </w:t>
            </w:r>
          </w:p>
        </w:tc>
      </w:tr>
      <w:tr w:rsidR="003E68F5" w:rsidRPr="003E68F5">
        <w:trPr>
          <w:trHeight w:val="249"/>
        </w:trPr>
        <w:tc>
          <w:tcPr>
            <w:tcW w:w="4356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свыше 200 л.с. до 250 л.с. (свыше </w:t>
            </w:r>
          </w:p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147,1 кВт до 183,9 кВт)           </w:t>
            </w:r>
          </w:p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включительно                      </w:t>
            </w:r>
          </w:p>
        </w:tc>
        <w:tc>
          <w:tcPr>
            <w:tcW w:w="1694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75          </w:t>
            </w:r>
          </w:p>
        </w:tc>
        <w:tc>
          <w:tcPr>
            <w:tcW w:w="1694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30          </w:t>
            </w:r>
          </w:p>
        </w:tc>
        <w:tc>
          <w:tcPr>
            <w:tcW w:w="968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15    </w:t>
            </w:r>
          </w:p>
        </w:tc>
      </w:tr>
      <w:tr w:rsidR="003E68F5" w:rsidRPr="003E68F5">
        <w:trPr>
          <w:trHeight w:val="249"/>
        </w:trPr>
        <w:tc>
          <w:tcPr>
            <w:tcW w:w="4356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свыше 250 л.с. (свыше 183,9 кВт)  </w:t>
            </w:r>
          </w:p>
        </w:tc>
        <w:tc>
          <w:tcPr>
            <w:tcW w:w="1694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100         </w:t>
            </w:r>
          </w:p>
        </w:tc>
        <w:tc>
          <w:tcPr>
            <w:tcW w:w="1694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75          </w:t>
            </w:r>
          </w:p>
        </w:tc>
        <w:tc>
          <w:tcPr>
            <w:tcW w:w="968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30    </w:t>
            </w:r>
          </w:p>
        </w:tc>
      </w:tr>
      <w:tr w:rsidR="003E68F5" w:rsidRPr="003E68F5">
        <w:trPr>
          <w:trHeight w:val="249"/>
        </w:trPr>
        <w:tc>
          <w:tcPr>
            <w:tcW w:w="4356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3. Автобусы с мощностью двигателя </w:t>
            </w:r>
          </w:p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(с каждой лошадиной силы):        </w:t>
            </w:r>
          </w:p>
        </w:tc>
        <w:tc>
          <w:tcPr>
            <w:tcW w:w="1694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</w:p>
        </w:tc>
        <w:tc>
          <w:tcPr>
            <w:tcW w:w="1694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</w:p>
        </w:tc>
        <w:tc>
          <w:tcPr>
            <w:tcW w:w="968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</w:p>
        </w:tc>
      </w:tr>
      <w:tr w:rsidR="003E68F5" w:rsidRPr="003E68F5">
        <w:trPr>
          <w:trHeight w:val="249"/>
        </w:trPr>
        <w:tc>
          <w:tcPr>
            <w:tcW w:w="4356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до 200 л.с. (до 147,1 кВт)        </w:t>
            </w:r>
          </w:p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включительно                      </w:t>
            </w:r>
          </w:p>
        </w:tc>
        <w:tc>
          <w:tcPr>
            <w:tcW w:w="1694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20          </w:t>
            </w:r>
          </w:p>
        </w:tc>
        <w:tc>
          <w:tcPr>
            <w:tcW w:w="1694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15          </w:t>
            </w:r>
          </w:p>
        </w:tc>
        <w:tc>
          <w:tcPr>
            <w:tcW w:w="968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10    </w:t>
            </w:r>
          </w:p>
        </w:tc>
      </w:tr>
      <w:tr w:rsidR="003E68F5" w:rsidRPr="003E68F5">
        <w:trPr>
          <w:trHeight w:val="249"/>
        </w:trPr>
        <w:tc>
          <w:tcPr>
            <w:tcW w:w="4356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свыше 200 л.с. (свыше 147,1 кВт)  </w:t>
            </w:r>
          </w:p>
        </w:tc>
        <w:tc>
          <w:tcPr>
            <w:tcW w:w="1694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30          </w:t>
            </w:r>
          </w:p>
        </w:tc>
        <w:tc>
          <w:tcPr>
            <w:tcW w:w="1694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25          </w:t>
            </w:r>
          </w:p>
        </w:tc>
        <w:tc>
          <w:tcPr>
            <w:tcW w:w="968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20    </w:t>
            </w:r>
          </w:p>
        </w:tc>
      </w:tr>
      <w:tr w:rsidR="003E68F5" w:rsidRPr="003E68F5">
        <w:trPr>
          <w:trHeight w:val="249"/>
        </w:trPr>
        <w:tc>
          <w:tcPr>
            <w:tcW w:w="4356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4. Грузовые автомобили с          </w:t>
            </w:r>
          </w:p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мощностью двигателя (с каждой     </w:t>
            </w:r>
          </w:p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лошадиной силы):                  </w:t>
            </w:r>
          </w:p>
        </w:tc>
        <w:tc>
          <w:tcPr>
            <w:tcW w:w="1694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</w:p>
        </w:tc>
        <w:tc>
          <w:tcPr>
            <w:tcW w:w="1694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</w:p>
        </w:tc>
        <w:tc>
          <w:tcPr>
            <w:tcW w:w="968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</w:p>
        </w:tc>
      </w:tr>
      <w:tr w:rsidR="003E68F5" w:rsidRPr="003E68F5">
        <w:trPr>
          <w:trHeight w:val="249"/>
        </w:trPr>
        <w:tc>
          <w:tcPr>
            <w:tcW w:w="4356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до 100 л.с. (до 73,55 кВт)        </w:t>
            </w:r>
          </w:p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включительно                      </w:t>
            </w:r>
          </w:p>
        </w:tc>
        <w:tc>
          <w:tcPr>
            <w:tcW w:w="1694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25          </w:t>
            </w:r>
          </w:p>
        </w:tc>
        <w:tc>
          <w:tcPr>
            <w:tcW w:w="1694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15          </w:t>
            </w:r>
          </w:p>
        </w:tc>
        <w:tc>
          <w:tcPr>
            <w:tcW w:w="968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8     </w:t>
            </w:r>
          </w:p>
        </w:tc>
      </w:tr>
      <w:tr w:rsidR="003E68F5" w:rsidRPr="003E68F5">
        <w:trPr>
          <w:trHeight w:val="249"/>
        </w:trPr>
        <w:tc>
          <w:tcPr>
            <w:tcW w:w="4356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свыше 100 л.с. до 150 л.с.        </w:t>
            </w:r>
          </w:p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(свыше 73,55 кВт до 110,33 кВт)   </w:t>
            </w:r>
          </w:p>
          <w:p w:rsidR="00AC7B7C" w:rsidRPr="003E68F5" w:rsidRDefault="00AC7B7C">
            <w:pPr>
              <w:pStyle w:val="ConsPlusNonformat"/>
              <w:jc w:val="both"/>
            </w:pPr>
            <w:r w:rsidRPr="003E68F5">
              <w:lastRenderedPageBreak/>
              <w:t xml:space="preserve">включительно                      </w:t>
            </w:r>
          </w:p>
        </w:tc>
        <w:tc>
          <w:tcPr>
            <w:tcW w:w="1694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lastRenderedPageBreak/>
              <w:t xml:space="preserve">35          </w:t>
            </w:r>
          </w:p>
        </w:tc>
        <w:tc>
          <w:tcPr>
            <w:tcW w:w="1694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25          </w:t>
            </w:r>
          </w:p>
        </w:tc>
        <w:tc>
          <w:tcPr>
            <w:tcW w:w="968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10    </w:t>
            </w:r>
          </w:p>
        </w:tc>
      </w:tr>
      <w:tr w:rsidR="003E68F5" w:rsidRPr="003E68F5">
        <w:trPr>
          <w:trHeight w:val="249"/>
        </w:trPr>
        <w:tc>
          <w:tcPr>
            <w:tcW w:w="4356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свыше 150 л.с. до 200 л.с. (свыше </w:t>
            </w:r>
          </w:p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110,33 кВт до 147,1 кВт)          </w:t>
            </w:r>
          </w:p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включительно                      </w:t>
            </w:r>
          </w:p>
        </w:tc>
        <w:tc>
          <w:tcPr>
            <w:tcW w:w="1694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40          </w:t>
            </w:r>
          </w:p>
        </w:tc>
        <w:tc>
          <w:tcPr>
            <w:tcW w:w="1694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30          </w:t>
            </w:r>
          </w:p>
        </w:tc>
        <w:tc>
          <w:tcPr>
            <w:tcW w:w="968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20    </w:t>
            </w:r>
          </w:p>
        </w:tc>
      </w:tr>
      <w:tr w:rsidR="003E68F5" w:rsidRPr="003E68F5">
        <w:trPr>
          <w:trHeight w:val="249"/>
        </w:trPr>
        <w:tc>
          <w:tcPr>
            <w:tcW w:w="4356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свыше 200 л.с. до 250 л.с. (свыше </w:t>
            </w:r>
          </w:p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147,1 кВт до 183,9 кВт)           </w:t>
            </w:r>
          </w:p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включительно                      </w:t>
            </w:r>
          </w:p>
        </w:tc>
        <w:tc>
          <w:tcPr>
            <w:tcW w:w="1694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45          </w:t>
            </w:r>
          </w:p>
        </w:tc>
        <w:tc>
          <w:tcPr>
            <w:tcW w:w="1694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30          </w:t>
            </w:r>
          </w:p>
        </w:tc>
        <w:tc>
          <w:tcPr>
            <w:tcW w:w="968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20    </w:t>
            </w:r>
          </w:p>
        </w:tc>
      </w:tr>
      <w:tr w:rsidR="00AC7B7C" w:rsidRPr="003E68F5">
        <w:trPr>
          <w:trHeight w:val="249"/>
        </w:trPr>
        <w:tc>
          <w:tcPr>
            <w:tcW w:w="4356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свыше 250 л.с. (свыше 183,9 кВт)  </w:t>
            </w:r>
          </w:p>
        </w:tc>
        <w:tc>
          <w:tcPr>
            <w:tcW w:w="1694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50          </w:t>
            </w:r>
          </w:p>
        </w:tc>
        <w:tc>
          <w:tcPr>
            <w:tcW w:w="1694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40          </w:t>
            </w:r>
          </w:p>
        </w:tc>
        <w:tc>
          <w:tcPr>
            <w:tcW w:w="968" w:type="dxa"/>
            <w:tcBorders>
              <w:top w:val="nil"/>
            </w:tcBorders>
          </w:tcPr>
          <w:p w:rsidR="00AC7B7C" w:rsidRPr="003E68F5" w:rsidRDefault="00AC7B7C">
            <w:pPr>
              <w:pStyle w:val="ConsPlusNonformat"/>
              <w:jc w:val="both"/>
            </w:pPr>
            <w:r w:rsidRPr="003E68F5">
              <w:t xml:space="preserve">30"   </w:t>
            </w:r>
          </w:p>
        </w:tc>
      </w:tr>
    </w:tbl>
    <w:p w:rsidR="00AC7B7C" w:rsidRPr="003E68F5" w:rsidRDefault="00AC7B7C">
      <w:pPr>
        <w:pStyle w:val="ConsPlusNormal"/>
      </w:pPr>
    </w:p>
    <w:p w:rsidR="00AC7B7C" w:rsidRPr="003E68F5" w:rsidRDefault="00AC7B7C">
      <w:pPr>
        <w:pStyle w:val="ConsPlusNormal"/>
        <w:ind w:firstLine="540"/>
        <w:jc w:val="both"/>
      </w:pPr>
      <w:r w:rsidRPr="003E68F5">
        <w:t>2. В статье 3:</w:t>
      </w:r>
    </w:p>
    <w:p w:rsidR="00AC7B7C" w:rsidRPr="003E68F5" w:rsidRDefault="00AC7B7C">
      <w:pPr>
        <w:pStyle w:val="ConsPlusNormal"/>
        <w:spacing w:before="220"/>
        <w:ind w:firstLine="540"/>
        <w:jc w:val="both"/>
      </w:pPr>
      <w:r w:rsidRPr="003E68F5">
        <w:t>1) пункт 2 изложить в новой редакции:</w:t>
      </w:r>
    </w:p>
    <w:p w:rsidR="00AC7B7C" w:rsidRPr="003E68F5" w:rsidRDefault="00AC7B7C">
      <w:pPr>
        <w:pStyle w:val="ConsPlusNormal"/>
        <w:spacing w:before="220"/>
        <w:ind w:firstLine="540"/>
        <w:jc w:val="both"/>
      </w:pPr>
      <w:r w:rsidRPr="003E68F5">
        <w:t>"2) пенсионеры, получающие трудовую пенсию по старости, за одно зарегистрированное на их имя автотранспортное средство с мощностью двигателя до 100 л.с. включительно и (или) один трактор, самоходный комбайн, моторную лодку независимо от даты выхода на пенсию в год налогового периода.</w:t>
      </w:r>
    </w:p>
    <w:p w:rsidR="00AC7B7C" w:rsidRPr="003E68F5" w:rsidRDefault="00AC7B7C">
      <w:pPr>
        <w:pStyle w:val="ConsPlusNormal"/>
        <w:spacing w:before="220"/>
        <w:ind w:firstLine="540"/>
        <w:jc w:val="both"/>
      </w:pPr>
      <w:r w:rsidRPr="003E68F5">
        <w:t>Освобождение от уплаты налога предоставляется при условии представления налогоплательщиком в налоговые органы подлинных документов и их копий в одном экземпляре:</w:t>
      </w:r>
    </w:p>
    <w:p w:rsidR="00AC7B7C" w:rsidRPr="003E68F5" w:rsidRDefault="00AC7B7C">
      <w:pPr>
        <w:pStyle w:val="ConsPlusNormal"/>
        <w:spacing w:before="220"/>
        <w:ind w:firstLine="540"/>
        <w:jc w:val="both"/>
      </w:pPr>
      <w:r w:rsidRPr="003E68F5">
        <w:t>пенсионного удостоверения;</w:t>
      </w:r>
    </w:p>
    <w:p w:rsidR="00AC7B7C" w:rsidRPr="003E68F5" w:rsidRDefault="00AC7B7C">
      <w:pPr>
        <w:pStyle w:val="ConsPlusNormal"/>
        <w:spacing w:before="220"/>
        <w:ind w:firstLine="540"/>
        <w:jc w:val="both"/>
      </w:pPr>
      <w:r w:rsidRPr="003E68F5">
        <w:t>технического паспорта транспортного средства;";</w:t>
      </w:r>
    </w:p>
    <w:p w:rsidR="00AC7B7C" w:rsidRPr="003E68F5" w:rsidRDefault="00AC7B7C">
      <w:pPr>
        <w:pStyle w:val="ConsPlusNormal"/>
        <w:spacing w:before="220"/>
        <w:ind w:firstLine="540"/>
        <w:jc w:val="both"/>
      </w:pPr>
      <w:r w:rsidRPr="003E68F5">
        <w:t>2) дополнить пунктом 4 следующего содержания:</w:t>
      </w:r>
    </w:p>
    <w:p w:rsidR="00AC7B7C" w:rsidRPr="003E68F5" w:rsidRDefault="00AC7B7C">
      <w:pPr>
        <w:pStyle w:val="ConsPlusNormal"/>
        <w:spacing w:before="220"/>
        <w:ind w:firstLine="540"/>
        <w:jc w:val="both"/>
      </w:pPr>
      <w:r w:rsidRPr="003E68F5">
        <w:t>"; 4) сельскохозяйственные товаропроизводители, производящие сельскохозяйственную продукцию и реализующие эту продукцию, при условии, что в общем объеме доходов от реализации товаров (работ, услуг) доля дохода от реализации произведенной ими сельскохозяйственной продукции составляет не менее 70 процентов.";</w:t>
      </w:r>
    </w:p>
    <w:p w:rsidR="00AC7B7C" w:rsidRPr="003E68F5" w:rsidRDefault="00AC7B7C">
      <w:pPr>
        <w:pStyle w:val="ConsPlusNormal"/>
        <w:spacing w:before="220"/>
        <w:ind w:firstLine="540"/>
        <w:jc w:val="both"/>
      </w:pPr>
      <w:r w:rsidRPr="003E68F5">
        <w:t>3) дополнить частью второй следующего содержания:</w:t>
      </w:r>
    </w:p>
    <w:p w:rsidR="00AC7B7C" w:rsidRPr="003E68F5" w:rsidRDefault="00AC7B7C">
      <w:pPr>
        <w:pStyle w:val="ConsPlusNormal"/>
        <w:spacing w:before="220"/>
        <w:ind w:firstLine="540"/>
        <w:jc w:val="both"/>
      </w:pPr>
      <w:r w:rsidRPr="003E68F5">
        <w:t>"Ставки налога определяются в размере, установленном главой 28 Налогового кодекса Российской Федерации для автотранспортных организаций, осуществляющих перевозки автомобильным транспортом общего пользования льготных категорий пассажиров, определенных законодательством, в отношении автотранспортных средств, используемых для выполнения пассажирских перевозок.".</w:t>
      </w:r>
    </w:p>
    <w:p w:rsidR="00AC7B7C" w:rsidRPr="003E68F5" w:rsidRDefault="00AC7B7C">
      <w:pPr>
        <w:pStyle w:val="ConsPlusNormal"/>
        <w:spacing w:before="220"/>
        <w:ind w:firstLine="540"/>
        <w:jc w:val="both"/>
      </w:pPr>
      <w:r w:rsidRPr="003E68F5">
        <w:t>3. В статье 4:</w:t>
      </w:r>
    </w:p>
    <w:p w:rsidR="00AC7B7C" w:rsidRPr="003E68F5" w:rsidRDefault="00AC7B7C">
      <w:pPr>
        <w:pStyle w:val="ConsPlusNormal"/>
        <w:spacing w:before="220"/>
        <w:ind w:firstLine="540"/>
        <w:jc w:val="both"/>
      </w:pPr>
      <w:r w:rsidRPr="003E68F5">
        <w:t>1) пункты 1, 3 исключить;</w:t>
      </w:r>
    </w:p>
    <w:p w:rsidR="00AC7B7C" w:rsidRPr="003E68F5" w:rsidRDefault="00AC7B7C">
      <w:pPr>
        <w:pStyle w:val="ConsPlusNormal"/>
        <w:spacing w:before="220"/>
        <w:ind w:firstLine="540"/>
        <w:jc w:val="both"/>
      </w:pPr>
      <w:r w:rsidRPr="003E68F5">
        <w:t>2) пункты 2, 4 считать соответственно пунктами 1, 2;</w:t>
      </w:r>
    </w:p>
    <w:p w:rsidR="00AC7B7C" w:rsidRPr="003E68F5" w:rsidRDefault="00AC7B7C">
      <w:pPr>
        <w:pStyle w:val="ConsPlusNormal"/>
        <w:spacing w:before="220"/>
        <w:ind w:firstLine="540"/>
        <w:jc w:val="both"/>
      </w:pPr>
      <w:r w:rsidRPr="003E68F5">
        <w:t>3) пункт 1 изложить в новой редакции:</w:t>
      </w:r>
    </w:p>
    <w:p w:rsidR="00AC7B7C" w:rsidRPr="003E68F5" w:rsidRDefault="00AC7B7C">
      <w:pPr>
        <w:pStyle w:val="ConsPlusNormal"/>
        <w:spacing w:before="220"/>
        <w:ind w:firstLine="540"/>
        <w:jc w:val="both"/>
      </w:pPr>
      <w:r w:rsidRPr="003E68F5">
        <w:t>"1. Налогоплательщики-организации исчисляют сумму налога самостоятельно.</w:t>
      </w:r>
    </w:p>
    <w:p w:rsidR="00AC7B7C" w:rsidRPr="003E68F5" w:rsidRDefault="00AC7B7C">
      <w:pPr>
        <w:pStyle w:val="ConsPlusNormal"/>
        <w:spacing w:before="220"/>
        <w:ind w:firstLine="540"/>
        <w:jc w:val="both"/>
      </w:pPr>
      <w:r w:rsidRPr="003E68F5">
        <w:t>Отчетным периодом по налогу признается первое полугодие календарного года.</w:t>
      </w:r>
    </w:p>
    <w:p w:rsidR="00AC7B7C" w:rsidRPr="003E68F5" w:rsidRDefault="00AC7B7C">
      <w:pPr>
        <w:pStyle w:val="ConsPlusNormal"/>
        <w:spacing w:before="220"/>
        <w:ind w:firstLine="540"/>
        <w:jc w:val="both"/>
      </w:pPr>
      <w:r w:rsidRPr="003E68F5">
        <w:t>По итогам отчетного периода налогоплательщики-организации уплачивают авансовые платежи по налогу, исчисленные исходя из налоговой базы, ставки налога и налоговых льгот, в срок не позднее 15 июля года налогового периода.</w:t>
      </w:r>
    </w:p>
    <w:p w:rsidR="00AC7B7C" w:rsidRPr="003E68F5" w:rsidRDefault="00AC7B7C">
      <w:pPr>
        <w:pStyle w:val="ConsPlusNormal"/>
        <w:spacing w:before="220"/>
        <w:ind w:firstLine="540"/>
        <w:jc w:val="both"/>
      </w:pPr>
      <w:r w:rsidRPr="003E68F5">
        <w:lastRenderedPageBreak/>
        <w:t>Данные о суммах исчисленных и уплаченных авансовых платежей налогоплательщики-организации отражают в налоговой декларации, которая представляется в налоговый орган по месту нахождения транспортных средств в срок не позднее 15 июля года налогового периода по форме согласно приложению к настоящему Закону.</w:t>
      </w:r>
    </w:p>
    <w:p w:rsidR="00AC7B7C" w:rsidRPr="003E68F5" w:rsidRDefault="00AC7B7C">
      <w:pPr>
        <w:pStyle w:val="ConsPlusNormal"/>
        <w:spacing w:before="220"/>
        <w:ind w:firstLine="540"/>
        <w:jc w:val="both"/>
      </w:pPr>
      <w:r w:rsidRPr="003E68F5">
        <w:t>По итогам налогового периода налогоплательщики исчисляют сумму налога исходя из налоговой базы, ставки налога и налоговых льгот. Разница между суммой уплаченного авансового платежа и суммой налога, подлежащей уплате по итогам налогового периода, уплачивается не позднее 30 марта года, следующего за истекшим налоговым периодом, либо подлежит зачету в счет предстоящих платежей или возврату налогоплательщику-организации в порядке, предусмотренном Налоговым кодексом Российской Федерации.</w:t>
      </w:r>
    </w:p>
    <w:p w:rsidR="00AC7B7C" w:rsidRPr="003E68F5" w:rsidRDefault="00AC7B7C">
      <w:pPr>
        <w:pStyle w:val="ConsPlusNormal"/>
        <w:spacing w:before="220"/>
        <w:ind w:firstLine="540"/>
        <w:jc w:val="both"/>
      </w:pPr>
      <w:r w:rsidRPr="003E68F5">
        <w:t>Налоговая декларация по транспортному налогу по итогам налогового периода представляется в налоговый орган по месту нахождения транспортных средств в срок не позднее 30 марта года, следующего за налоговым периодом, по форме согласно приложению к настоящему закону.";</w:t>
      </w:r>
    </w:p>
    <w:p w:rsidR="00AC7B7C" w:rsidRPr="003E68F5" w:rsidRDefault="00AC7B7C">
      <w:pPr>
        <w:pStyle w:val="ConsPlusNormal"/>
        <w:spacing w:before="220"/>
        <w:ind w:firstLine="540"/>
        <w:jc w:val="both"/>
      </w:pPr>
      <w:r w:rsidRPr="003E68F5">
        <w:t>4) абзацы второй и третий пункта 2 изложить в новой редакции:</w:t>
      </w:r>
    </w:p>
    <w:p w:rsidR="00AC7B7C" w:rsidRPr="003E68F5" w:rsidRDefault="00AC7B7C">
      <w:pPr>
        <w:pStyle w:val="ConsPlusNormal"/>
        <w:spacing w:before="220"/>
        <w:ind w:firstLine="540"/>
        <w:jc w:val="both"/>
      </w:pPr>
      <w:r w:rsidRPr="003E68F5">
        <w:t>"Уплата авансовых платежей налогоплательщиками - физическими лицами производится в соответствии с налоговым уведомлением равными долями в два срока: не позднее 15 сентября и 15 ноября года налогового периода.</w:t>
      </w:r>
    </w:p>
    <w:p w:rsidR="00AC7B7C" w:rsidRPr="003E68F5" w:rsidRDefault="00AC7B7C">
      <w:pPr>
        <w:pStyle w:val="ConsPlusNormal"/>
        <w:spacing w:before="220"/>
        <w:ind w:firstLine="540"/>
        <w:jc w:val="both"/>
      </w:pPr>
      <w:r w:rsidRPr="003E68F5">
        <w:t>При постановке на учет транспортного средства (постановке в государственный судовой реестр и т.д.) после 1 июня года налогового периода расчет налога за текущий налоговый период осуществляется на основании уведомления о подлежащей уплате сумме налога налогового органа, вручаемого налогоплательщику - физическому лицу, в срок не позднее 1 марта года, следующего за истекшим налоговым периодом.</w:t>
      </w:r>
    </w:p>
    <w:p w:rsidR="00AC7B7C" w:rsidRPr="003E68F5" w:rsidRDefault="00AC7B7C">
      <w:pPr>
        <w:pStyle w:val="ConsPlusNormal"/>
        <w:spacing w:before="220"/>
        <w:ind w:firstLine="540"/>
        <w:jc w:val="both"/>
      </w:pPr>
      <w:r w:rsidRPr="003E68F5">
        <w:t>Разница между суммой уплаченного авансового платежа и суммой налога, подлежащей уплате по истечении текущего налогового периода, уплачивается налогоплательщиками - физическими лицами не позднее 30 марта года, следующего за истекшим налоговым периодом.</w:t>
      </w:r>
    </w:p>
    <w:p w:rsidR="00AC7B7C" w:rsidRPr="003E68F5" w:rsidRDefault="00AC7B7C">
      <w:pPr>
        <w:pStyle w:val="ConsPlusNormal"/>
        <w:spacing w:before="220"/>
        <w:ind w:firstLine="540"/>
        <w:jc w:val="both"/>
      </w:pPr>
      <w:r w:rsidRPr="003E68F5">
        <w:t>При снятии транспортного средства с учета (исключении из государственного судового реестра и т.д.) в течение текущего налогового периода перерасчет, возврат или зачет в счет предстоящих платежей суммы излишне уплаченного налога производятся по заявлению налогоплательщика</w:t>
      </w:r>
    </w:p>
    <w:p w:rsidR="00AC7B7C" w:rsidRPr="003E68F5" w:rsidRDefault="00AC7B7C">
      <w:pPr>
        <w:pStyle w:val="ConsPlusNormal"/>
        <w:spacing w:before="220"/>
        <w:ind w:firstLine="540"/>
        <w:jc w:val="both"/>
      </w:pPr>
      <w:r w:rsidRPr="003E68F5">
        <w:t>- физического лица в порядке, предусмотренном Налоговым кодексом Российской Федерации.</w:t>
      </w:r>
    </w:p>
    <w:p w:rsidR="00AC7B7C" w:rsidRPr="003E68F5" w:rsidRDefault="00AC7B7C">
      <w:pPr>
        <w:pStyle w:val="ConsPlusNormal"/>
        <w:spacing w:before="220"/>
        <w:ind w:firstLine="540"/>
        <w:jc w:val="both"/>
      </w:pPr>
      <w:r w:rsidRPr="003E68F5">
        <w:t>Отчетным периодом по налогу для налогоплательщиков - физических лиц признается пять месяцев календарного года. Авансовые платежи, уплаченные налогоплательщиками - физическими лицами по итогам отчетного периода, засчитываются в счет уплаты налога по итогам налогового периода.</w:t>
      </w:r>
    </w:p>
    <w:p w:rsidR="00AC7B7C" w:rsidRPr="003E68F5" w:rsidRDefault="00AC7B7C">
      <w:pPr>
        <w:pStyle w:val="ConsPlusNormal"/>
        <w:spacing w:before="220"/>
        <w:ind w:firstLine="540"/>
        <w:jc w:val="both"/>
      </w:pPr>
      <w:r w:rsidRPr="003E68F5">
        <w:t>По транспортным средствам, зарегистрированным на физических лиц, приобретенным и переданным ими на основании доверенности на право владения и распоряжения транспортным средством до момента официального опубликования Федерального закона от 24 июля 2002 г. N 110-ФЗ "О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Федерации", которым введена в действие глава 28 части второй Налогового кодекса "Транспортный налог", налогоплательщиком является лицо, указанное в такой доверенности. При этом лица, на которые зарегистрированы указанные транспортные средства, уведомляют налоговый орган по месту жительства о передаче на основании доверенности указанных транспортных средств.".</w:t>
      </w:r>
    </w:p>
    <w:p w:rsidR="00AC7B7C" w:rsidRPr="003E68F5" w:rsidRDefault="00AC7B7C">
      <w:pPr>
        <w:pStyle w:val="ConsPlusNormal"/>
        <w:spacing w:before="220"/>
        <w:ind w:firstLine="540"/>
        <w:jc w:val="both"/>
      </w:pPr>
      <w:r w:rsidRPr="003E68F5">
        <w:lastRenderedPageBreak/>
        <w:t>4. Приложение к закону изложить в новой редакции согласно приложению к настоящему закону.</w:t>
      </w:r>
    </w:p>
    <w:p w:rsidR="00AC7B7C" w:rsidRPr="003E68F5" w:rsidRDefault="00AC7B7C">
      <w:pPr>
        <w:pStyle w:val="ConsPlusNormal"/>
      </w:pPr>
    </w:p>
    <w:p w:rsidR="00AC7B7C" w:rsidRPr="003E68F5" w:rsidRDefault="00AC7B7C">
      <w:pPr>
        <w:pStyle w:val="ConsPlusTitle"/>
        <w:ind w:firstLine="540"/>
        <w:jc w:val="both"/>
        <w:outlineLvl w:val="1"/>
      </w:pPr>
      <w:r w:rsidRPr="003E68F5">
        <w:t>Статья 2</w:t>
      </w:r>
    </w:p>
    <w:p w:rsidR="00AC7B7C" w:rsidRPr="003E68F5" w:rsidRDefault="00AC7B7C">
      <w:pPr>
        <w:pStyle w:val="ConsPlusNormal"/>
      </w:pPr>
    </w:p>
    <w:p w:rsidR="00AC7B7C" w:rsidRPr="003E68F5" w:rsidRDefault="00AC7B7C">
      <w:pPr>
        <w:pStyle w:val="ConsPlusNormal"/>
        <w:ind w:firstLine="540"/>
        <w:jc w:val="both"/>
      </w:pPr>
      <w:r w:rsidRPr="003E68F5">
        <w:t>Настоящий закон вступает в силу с 1 января 2004 года, но не ранее чем по истечении одного месяца со дня его первого официального опубликования и не ранее 1 числа очередного налогового периода по транспортному налогу.</w:t>
      </w:r>
    </w:p>
    <w:p w:rsidR="00AC7B7C" w:rsidRPr="003E68F5" w:rsidRDefault="00AC7B7C">
      <w:pPr>
        <w:pStyle w:val="ConsPlusNormal"/>
        <w:spacing w:after="1"/>
      </w:pPr>
    </w:p>
    <w:p w:rsidR="00AC7B7C" w:rsidRPr="003E68F5" w:rsidRDefault="00AC7B7C">
      <w:pPr>
        <w:pStyle w:val="ConsPlusNormal"/>
        <w:spacing w:before="280"/>
        <w:ind w:firstLine="540"/>
        <w:jc w:val="both"/>
      </w:pPr>
      <w:r w:rsidRPr="003E68F5">
        <w:t>Абзац исключен. - Закон Амурской области от 04.06.2004 N 325-ОЗ.</w:t>
      </w:r>
    </w:p>
    <w:p w:rsidR="00AC7B7C" w:rsidRPr="003E68F5" w:rsidRDefault="00AC7B7C">
      <w:pPr>
        <w:pStyle w:val="ConsPlusNormal"/>
      </w:pPr>
    </w:p>
    <w:p w:rsidR="00AC7B7C" w:rsidRPr="003E68F5" w:rsidRDefault="00AC7B7C">
      <w:pPr>
        <w:pStyle w:val="ConsPlusNormal"/>
        <w:jc w:val="right"/>
      </w:pPr>
      <w:r w:rsidRPr="003E68F5">
        <w:t>Губернатор</w:t>
      </w:r>
    </w:p>
    <w:p w:rsidR="00AC7B7C" w:rsidRPr="003E68F5" w:rsidRDefault="00AC7B7C">
      <w:pPr>
        <w:pStyle w:val="ConsPlusNormal"/>
        <w:jc w:val="right"/>
      </w:pPr>
      <w:r w:rsidRPr="003E68F5">
        <w:t>Амурской области</w:t>
      </w:r>
    </w:p>
    <w:p w:rsidR="00AC7B7C" w:rsidRPr="003E68F5" w:rsidRDefault="00AC7B7C">
      <w:pPr>
        <w:pStyle w:val="ConsPlusNormal"/>
        <w:jc w:val="right"/>
      </w:pPr>
      <w:r w:rsidRPr="003E68F5">
        <w:t>Л.В.КОРОТКОВ</w:t>
      </w:r>
    </w:p>
    <w:p w:rsidR="00AC7B7C" w:rsidRPr="003E68F5" w:rsidRDefault="00AC7B7C">
      <w:pPr>
        <w:pStyle w:val="ConsPlusNormal"/>
      </w:pPr>
    </w:p>
    <w:p w:rsidR="00AC7B7C" w:rsidRPr="003E68F5" w:rsidRDefault="00AC7B7C">
      <w:pPr>
        <w:pStyle w:val="ConsPlusNormal"/>
      </w:pPr>
      <w:r w:rsidRPr="003E68F5">
        <w:t>г. Благовещенск</w:t>
      </w:r>
    </w:p>
    <w:p w:rsidR="00AC7B7C" w:rsidRPr="003E68F5" w:rsidRDefault="00AC7B7C">
      <w:pPr>
        <w:pStyle w:val="ConsPlusNormal"/>
        <w:spacing w:before="220"/>
      </w:pPr>
      <w:r w:rsidRPr="003E68F5">
        <w:t>28 ноября 2003 года</w:t>
      </w:r>
    </w:p>
    <w:p w:rsidR="00AC7B7C" w:rsidRPr="003E68F5" w:rsidRDefault="00AC7B7C">
      <w:pPr>
        <w:pStyle w:val="ConsPlusNormal"/>
        <w:spacing w:before="220"/>
      </w:pPr>
      <w:r w:rsidRPr="003E68F5">
        <w:t>N 261-ОЗ</w:t>
      </w:r>
    </w:p>
    <w:p w:rsidR="00AC7B7C" w:rsidRPr="003E68F5" w:rsidRDefault="00AC7B7C">
      <w:pPr>
        <w:pStyle w:val="ConsPlusNormal"/>
      </w:pPr>
    </w:p>
    <w:p w:rsidR="00AC7B7C" w:rsidRPr="003E68F5" w:rsidRDefault="00AC7B7C">
      <w:pPr>
        <w:pStyle w:val="ConsPlusNormal"/>
      </w:pPr>
    </w:p>
    <w:p w:rsidR="00AC7B7C" w:rsidRPr="003E68F5" w:rsidRDefault="00AC7B7C">
      <w:pPr>
        <w:pStyle w:val="ConsPlusNormal"/>
      </w:pPr>
    </w:p>
    <w:p w:rsidR="00AC7B7C" w:rsidRPr="003E68F5" w:rsidRDefault="00AC7B7C">
      <w:pPr>
        <w:pStyle w:val="ConsPlusNormal"/>
      </w:pPr>
    </w:p>
    <w:p w:rsidR="00AC7B7C" w:rsidRPr="003E68F5" w:rsidRDefault="00AC7B7C">
      <w:pPr>
        <w:pStyle w:val="ConsPlusNormal"/>
      </w:pPr>
    </w:p>
    <w:sectPr w:rsidR="00AC7B7C" w:rsidRPr="003E68F5" w:rsidSect="003E6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B7C"/>
    <w:rsid w:val="00122277"/>
    <w:rsid w:val="003E68F5"/>
    <w:rsid w:val="00780A0C"/>
    <w:rsid w:val="00AC7B7C"/>
    <w:rsid w:val="00C36BED"/>
    <w:rsid w:val="00D1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8848"/>
  <w15:docId w15:val="{7FB8024D-C29D-457B-809E-84485D86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B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C7B7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C7B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C7B7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C7B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C7B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C7B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C7B7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Nadya</cp:lastModifiedBy>
  <cp:revision>2</cp:revision>
  <dcterms:created xsi:type="dcterms:W3CDTF">2023-06-09T02:54:00Z</dcterms:created>
  <dcterms:modified xsi:type="dcterms:W3CDTF">2023-06-12T01:31:00Z</dcterms:modified>
</cp:coreProperties>
</file>