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C7B7C" w:rsidTr="003E68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7B7C" w:rsidRDefault="00AC7B7C">
            <w:pPr>
              <w:pStyle w:val="ConsPlusNormal"/>
              <w:outlineLvl w:val="0"/>
            </w:pPr>
            <w:r>
              <w:t>28 ноября 2003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C7B7C" w:rsidRDefault="00AC7B7C">
            <w:pPr>
              <w:pStyle w:val="ConsPlusNormal"/>
              <w:jc w:val="right"/>
              <w:outlineLvl w:val="0"/>
            </w:pPr>
            <w:r>
              <w:t>261-ОЗ</w:t>
            </w:r>
          </w:p>
        </w:tc>
      </w:tr>
    </w:tbl>
    <w:p w:rsidR="00AC7B7C" w:rsidRDefault="00AC7B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B7C" w:rsidRDefault="00AC7B7C">
      <w:pPr>
        <w:pStyle w:val="ConsPlusNormal"/>
      </w:pPr>
    </w:p>
    <w:p w:rsidR="00AC7B7C" w:rsidRDefault="00AC7B7C">
      <w:pPr>
        <w:pStyle w:val="ConsPlusTitle"/>
        <w:jc w:val="center"/>
      </w:pPr>
      <w:r>
        <w:t>ЗАКОН АМУРСКОЙ ОБЛАСТИ</w:t>
      </w:r>
    </w:p>
    <w:p w:rsidR="00AC7B7C" w:rsidRPr="003E68F5" w:rsidRDefault="00AC7B7C">
      <w:pPr>
        <w:pStyle w:val="ConsPlusTitle"/>
        <w:jc w:val="center"/>
      </w:pPr>
    </w:p>
    <w:p w:rsidR="00AC7B7C" w:rsidRPr="003E68F5" w:rsidRDefault="00AC7B7C">
      <w:pPr>
        <w:pStyle w:val="ConsPlusTitle"/>
        <w:jc w:val="center"/>
      </w:pPr>
      <w:r w:rsidRPr="003E68F5">
        <w:t xml:space="preserve">О </w:t>
      </w:r>
      <w:r w:rsidR="003E68F5" w:rsidRPr="003E68F5">
        <w:t>внесении изменений и дополнений в Закон Амурской</w:t>
      </w:r>
    </w:p>
    <w:p w:rsidR="00AC7B7C" w:rsidRPr="003E68F5" w:rsidRDefault="003E68F5">
      <w:pPr>
        <w:pStyle w:val="ConsPlusTitle"/>
        <w:jc w:val="center"/>
      </w:pPr>
      <w:r w:rsidRPr="003E68F5">
        <w:t>области "О транспортном налоге на территории</w:t>
      </w:r>
    </w:p>
    <w:p w:rsidR="00AC7B7C" w:rsidRPr="003E68F5" w:rsidRDefault="003E68F5">
      <w:pPr>
        <w:pStyle w:val="ConsPlusTitle"/>
        <w:jc w:val="center"/>
      </w:pPr>
      <w:r w:rsidRPr="003E68F5">
        <w:t>Амурской области"</w:t>
      </w:r>
    </w:p>
    <w:p w:rsidR="00AC7B7C" w:rsidRPr="003E68F5" w:rsidRDefault="00AC7B7C">
      <w:pPr>
        <w:pStyle w:val="ConsPlusNormal"/>
      </w:pPr>
    </w:p>
    <w:p w:rsidR="00AC7B7C" w:rsidRPr="003E68F5" w:rsidRDefault="00AC7B7C">
      <w:pPr>
        <w:pStyle w:val="ConsPlusNormal"/>
      </w:pPr>
    </w:p>
    <w:p w:rsidR="00AC7B7C" w:rsidRPr="003E68F5" w:rsidRDefault="00AC7B7C">
      <w:pPr>
        <w:pStyle w:val="ConsPlusTitle"/>
        <w:ind w:firstLine="540"/>
        <w:jc w:val="both"/>
        <w:outlineLvl w:val="1"/>
      </w:pPr>
      <w:r w:rsidRPr="003E68F5">
        <w:t>Статья 1</w:t>
      </w:r>
    </w:p>
    <w:p w:rsidR="00AC7B7C" w:rsidRPr="003E68F5" w:rsidRDefault="00AC7B7C">
      <w:pPr>
        <w:pStyle w:val="ConsPlusNormal"/>
      </w:pPr>
    </w:p>
    <w:p w:rsidR="00AC7B7C" w:rsidRPr="003E68F5" w:rsidRDefault="00AC7B7C">
      <w:pPr>
        <w:pStyle w:val="ConsPlusNormal"/>
        <w:ind w:firstLine="540"/>
        <w:jc w:val="both"/>
      </w:pPr>
      <w:r w:rsidRPr="003E68F5">
        <w:t>Внести в Закон Амурской области от 18 ноября 2002 г. N 142-ОЗ "О транспортном налоге на территории Амурской области" следующие изменения и дополнения: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1. В статье 2, в столбцах "Наименование объекта налогообложения" и "Налоговая ставка (в рублях)" пункты 1, 3 и 4 таблицы изложить в новой редакции:</w:t>
      </w:r>
    </w:p>
    <w:p w:rsidR="00AC7B7C" w:rsidRPr="003E68F5" w:rsidRDefault="00AC7B7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56"/>
        <w:gridCol w:w="1694"/>
        <w:gridCol w:w="1694"/>
        <w:gridCol w:w="968"/>
      </w:tblGrid>
      <w:tr w:rsidR="003E68F5" w:rsidRPr="003E68F5">
        <w:trPr>
          <w:trHeight w:val="249"/>
        </w:trPr>
        <w:tc>
          <w:tcPr>
            <w:tcW w:w="4356" w:type="dxa"/>
            <w:vMerge w:val="restart"/>
          </w:tcPr>
          <w:p w:rsidR="00AC7B7C" w:rsidRPr="003E68F5" w:rsidRDefault="00AC7B7C">
            <w:pPr>
              <w:pStyle w:val="ConsPlusNonformat"/>
              <w:jc w:val="both"/>
            </w:pPr>
          </w:p>
        </w:tc>
        <w:tc>
          <w:tcPr>
            <w:tcW w:w="4356" w:type="dxa"/>
            <w:gridSpan w:val="3"/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   "С учетом срока полезного   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   использования транспортных  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             средств            </w:t>
            </w:r>
          </w:p>
        </w:tc>
      </w:tr>
      <w:tr w:rsidR="003E68F5" w:rsidRPr="003E68F5">
        <w:tc>
          <w:tcPr>
            <w:tcW w:w="4235" w:type="dxa"/>
            <w:vMerge/>
            <w:tcBorders>
              <w:top w:val="nil"/>
            </w:tcBorders>
          </w:tcPr>
          <w:p w:rsidR="00AC7B7C" w:rsidRPr="003E68F5" w:rsidRDefault="00AC7B7C">
            <w:pPr>
              <w:pStyle w:val="ConsPlusNormal"/>
            </w:pP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  до 5 лет 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>включительно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 свыше 5 до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   10 лет  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>включительно</w:t>
            </w:r>
          </w:p>
        </w:tc>
        <w:tc>
          <w:tcPr>
            <w:tcW w:w="968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 свыше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>10 лет</w:t>
            </w:r>
          </w:p>
        </w:tc>
      </w:tr>
      <w:tr w:rsidR="003E68F5" w:rsidRPr="003E68F5">
        <w:trPr>
          <w:trHeight w:val="249"/>
        </w:trPr>
        <w:tc>
          <w:tcPr>
            <w:tcW w:w="4356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1. Автомобили легковые с         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мощностью двигателя (с каждой    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лошадиной силы):   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</w:p>
        </w:tc>
        <w:tc>
          <w:tcPr>
            <w:tcW w:w="968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</w:p>
        </w:tc>
      </w:tr>
      <w:tr w:rsidR="003E68F5" w:rsidRPr="003E68F5">
        <w:trPr>
          <w:trHeight w:val="249"/>
        </w:trPr>
        <w:tc>
          <w:tcPr>
            <w:tcW w:w="4356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до 100 л.с. (до 73,55 кВт)       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включительно       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15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7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5     </w:t>
            </w:r>
          </w:p>
        </w:tc>
      </w:tr>
      <w:tr w:rsidR="003E68F5" w:rsidRPr="003E68F5">
        <w:trPr>
          <w:trHeight w:val="249"/>
        </w:trPr>
        <w:tc>
          <w:tcPr>
            <w:tcW w:w="4356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свыше 100 л.с. до 150 л.с. (свыше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73,55 кВт до 110,33 кВт)         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включительно       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20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12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7     </w:t>
            </w:r>
          </w:p>
        </w:tc>
      </w:tr>
      <w:tr w:rsidR="003E68F5" w:rsidRPr="003E68F5">
        <w:trPr>
          <w:trHeight w:val="249"/>
        </w:trPr>
        <w:tc>
          <w:tcPr>
            <w:tcW w:w="4356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свыше 150 л.с. до 200 л.с. (свыше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110,33 кВт до 147,1 кВт)         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включительно       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30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20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10    </w:t>
            </w:r>
          </w:p>
        </w:tc>
      </w:tr>
      <w:tr w:rsidR="003E68F5" w:rsidRPr="003E68F5">
        <w:trPr>
          <w:trHeight w:val="249"/>
        </w:trPr>
        <w:tc>
          <w:tcPr>
            <w:tcW w:w="4356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свыше 200 л.с. до 250 л.с. (свыше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147,1 кВт до 183,9 кВт)          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включительно       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75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30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15    </w:t>
            </w:r>
          </w:p>
        </w:tc>
      </w:tr>
      <w:tr w:rsidR="003E68F5" w:rsidRPr="003E68F5">
        <w:trPr>
          <w:trHeight w:val="249"/>
        </w:trPr>
        <w:tc>
          <w:tcPr>
            <w:tcW w:w="4356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свыше 250 л.с. (свыше 183,9 кВт)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100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75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30    </w:t>
            </w:r>
          </w:p>
        </w:tc>
      </w:tr>
      <w:tr w:rsidR="003E68F5" w:rsidRPr="003E68F5">
        <w:trPr>
          <w:trHeight w:val="249"/>
        </w:trPr>
        <w:tc>
          <w:tcPr>
            <w:tcW w:w="4356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3. Автобусы с мощностью двигателя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(с каждой лошадиной силы):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</w:p>
        </w:tc>
        <w:tc>
          <w:tcPr>
            <w:tcW w:w="968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</w:p>
        </w:tc>
      </w:tr>
      <w:tr w:rsidR="003E68F5" w:rsidRPr="003E68F5">
        <w:trPr>
          <w:trHeight w:val="249"/>
        </w:trPr>
        <w:tc>
          <w:tcPr>
            <w:tcW w:w="4356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до 200 л.с. (до 147,1 кВт)       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включительно       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20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15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10    </w:t>
            </w:r>
          </w:p>
        </w:tc>
      </w:tr>
      <w:tr w:rsidR="003E68F5" w:rsidRPr="003E68F5">
        <w:trPr>
          <w:trHeight w:val="249"/>
        </w:trPr>
        <w:tc>
          <w:tcPr>
            <w:tcW w:w="4356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свыше 200 л.с. (свыше 147,1 кВт)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30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25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20    </w:t>
            </w:r>
          </w:p>
        </w:tc>
      </w:tr>
      <w:tr w:rsidR="003E68F5" w:rsidRPr="003E68F5">
        <w:trPr>
          <w:trHeight w:val="249"/>
        </w:trPr>
        <w:tc>
          <w:tcPr>
            <w:tcW w:w="4356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4. Грузовые автомобили с         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мощностью двигателя (с каждой    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лошадиной силы):   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</w:p>
        </w:tc>
        <w:tc>
          <w:tcPr>
            <w:tcW w:w="968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</w:p>
        </w:tc>
      </w:tr>
      <w:tr w:rsidR="003E68F5" w:rsidRPr="003E68F5">
        <w:trPr>
          <w:trHeight w:val="249"/>
        </w:trPr>
        <w:tc>
          <w:tcPr>
            <w:tcW w:w="4356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до 100 л.с. (до 73,55 кВт)       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включительно       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25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15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8     </w:t>
            </w:r>
          </w:p>
        </w:tc>
      </w:tr>
      <w:tr w:rsidR="003E68F5" w:rsidRPr="003E68F5">
        <w:trPr>
          <w:trHeight w:val="249"/>
        </w:trPr>
        <w:tc>
          <w:tcPr>
            <w:tcW w:w="4356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свыше 100 л.с. до 150 л.с.       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(свыше 73,55 кВт до 110,33 кВт)  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lastRenderedPageBreak/>
              <w:t xml:space="preserve">включительно       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lastRenderedPageBreak/>
              <w:t xml:space="preserve">35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25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10    </w:t>
            </w:r>
          </w:p>
        </w:tc>
      </w:tr>
      <w:tr w:rsidR="003E68F5" w:rsidRPr="003E68F5">
        <w:trPr>
          <w:trHeight w:val="249"/>
        </w:trPr>
        <w:tc>
          <w:tcPr>
            <w:tcW w:w="4356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свыше 150 л.с. до 200 л.с. (свыше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110,33 кВт до 147,1 кВт)         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включительно       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40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30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20    </w:t>
            </w:r>
          </w:p>
        </w:tc>
      </w:tr>
      <w:tr w:rsidR="003E68F5" w:rsidRPr="003E68F5">
        <w:trPr>
          <w:trHeight w:val="249"/>
        </w:trPr>
        <w:tc>
          <w:tcPr>
            <w:tcW w:w="4356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свыше 200 л.с. до 250 л.с. (свыше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147,1 кВт до 183,9 кВт)           </w:t>
            </w:r>
          </w:p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включительно       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45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30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20    </w:t>
            </w:r>
          </w:p>
        </w:tc>
      </w:tr>
      <w:tr w:rsidR="00AC7B7C" w:rsidRPr="003E68F5">
        <w:trPr>
          <w:trHeight w:val="249"/>
        </w:trPr>
        <w:tc>
          <w:tcPr>
            <w:tcW w:w="4356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свыше 250 л.с. (свыше 183,9 кВт)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50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40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AC7B7C" w:rsidRPr="003E68F5" w:rsidRDefault="00AC7B7C">
            <w:pPr>
              <w:pStyle w:val="ConsPlusNonformat"/>
              <w:jc w:val="both"/>
            </w:pPr>
            <w:r w:rsidRPr="003E68F5">
              <w:t xml:space="preserve">30"   </w:t>
            </w:r>
          </w:p>
        </w:tc>
      </w:tr>
    </w:tbl>
    <w:p w:rsidR="00AC7B7C" w:rsidRPr="003E68F5" w:rsidRDefault="00AC7B7C">
      <w:pPr>
        <w:pStyle w:val="ConsPlusNormal"/>
      </w:pPr>
    </w:p>
    <w:p w:rsidR="00AC7B7C" w:rsidRPr="003E68F5" w:rsidRDefault="00AC7B7C">
      <w:pPr>
        <w:pStyle w:val="ConsPlusNormal"/>
        <w:ind w:firstLine="540"/>
        <w:jc w:val="both"/>
      </w:pPr>
      <w:r w:rsidRPr="003E68F5">
        <w:t>2. В статье 3: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1) пункт 2 изложить в новой редакции: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"2) пенсионеры, получающие трудовую пенсию по старости, за одно зарегистрированное на их имя автотранспортное средство с мощностью двигателя до 100 л.с. включительно и (или) один трактор, самоходный комбайн, моторную лодку независимо от даты выхода на пенсию в год налогового периода.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Освобождение от уплаты налога предоставляется при условии представления налогоплательщиком в налоговые органы подлинных документов и их копий в одном экземпляре: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пенсионного удостоверения;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технического паспорта транспортного средства;";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2) дополнить пунктом 4 следующего содержания: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"; 4) сельскохозяйственные товаропроизводители, производящие сельскохозяйственную продукцию и реализующие эту продукцию, при условии, что в общем объеме доходов от реализации товаров (работ, услуг) доля дохода от реализации произведенной ими сельскохозяйственной продукции составляет не менее 70 процентов.";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3) дополнить частью второй следующего содержания: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"Ставки налога определяются в размере, установленном главой 28 Налогового кодекса Российской Федерации для автотранспортных организаций, осуществляющих перевозки автомобильным транспортом общего пользования льготных категорий пассажиров, определенных законодательством, в отношении автотранспортных средств, используемых для выполнения пассажирских перевозок.".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3. В статье 4: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1) пункты 1, 3 исключить;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2) пункты 2, 4 считать соответственно пунктами 1, 2;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3) пункт 1 изложить в новой редакции: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"1. Налогоплательщики-организации исчисляют сумму налога самостоятельно.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Отчетным периодом по налогу признается первое полугодие календарного года.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По итогам отчетного периода налогоплательщики-организации уплачивают авансовые платежи по налогу, исчисленные исходя из налоговой базы, ставки налога и налоговых льгот, в срок не позднее 15 июля года налогового периода.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lastRenderedPageBreak/>
        <w:t>Данные о суммах исчисленных и уплаченных авансовых платежей налогоплательщики-организации отражают в налоговой декларации, которая представляется в налоговый орган по месту нахождения транспортных средств в срок не позднее 15 июля года налогового периода по форме согласно приложению к настоящему Закону.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По итогам налогового периода налогоплательщики исчисляют сумму налога исходя из налоговой базы, ставки налога и налоговых льгот. Разница между суммой уплаченного авансового платежа и суммой налога, подлежащей уплате по итогам налогового периода, уплачивается не позднее 30 марта года, следующего за истекшим налоговым периодом, либо подлежит зачету в счет предстоящих платежей или возврату налогоплательщику-организации в порядке, предусмотренном Налоговым кодексом Российской Федерации.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Налоговая декларация по транспортному налогу по итогам налогового периода представляется в налоговый орган по месту нахождения транспортных средств в срок не позднее 30 марта года, следующего за налоговым периодом, по форме согласно приложению к настоящему закону.";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4) абзацы второй и третий пункта 2 изложить в новой редакции: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"Уплата авансовых платежей налогоплательщиками - физическими лицами производится в соответствии с налоговым уведомлением равными долями в два срока: не позднее 15 сентября и 15 ноября года налогового периода.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При постановке на учет транспортного средства (постановке в государственный судовой реестр и т.д.) после 1 июня года налогового периода расчет налога за текущий налоговый период осуществляется на основании уведомления о подлежащей уплате сумме налога налогового органа, вручаемого налогоплательщику - физическому лицу, в срок не позднее 1 марта года, следующего за истекшим налоговым периодом.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Разница между суммой уплаченного авансового платежа и суммой налога, подлежащей уплате по истечении текущего налогового периода, уплачивается налогоплательщиками - физическими лицами не позднее 30 марта года, следующего за истекшим налоговым периодом.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При снятии транспортного средства с учета (исключении из государственного судового реестра и т.д.) в течение текущего налогового периода перерасчет, возврат или зачет в счет предстоящих платежей суммы излишне уплаченного налога производятся по заявлению налогоплательщика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- физического лица в порядке, предусмотренном Налоговым кодексом Российской Федерации.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Отчетным периодом по налогу для налогоплательщиков - физических лиц признается пять месяцев календарного года. Авансовые платежи, уплаченные налогоплательщиками - физическими лицами по итогам отчетного периода, засчитываются в счет уплаты налога по итогам налогового периода.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t>По транспортным средствам, зарегистрированным на физических лиц,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Федерального закона от 24 июля 2002 г. N 110-ФЗ "О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Федерации", которым введена в действие глава 28 части второй Налогового кодекса "Транспортный налог", налогоплательщиком является лицо, указанное в такой доверенности. При этом лица, на которые зарегистрированы указанные транспортные средства, уведомляют налоговый орган по месту жительства о передаче на основании доверенности указанных транспортных средств.".</w:t>
      </w:r>
    </w:p>
    <w:p w:rsidR="00AC7B7C" w:rsidRPr="003E68F5" w:rsidRDefault="00AC7B7C">
      <w:pPr>
        <w:pStyle w:val="ConsPlusNormal"/>
        <w:spacing w:before="220"/>
        <w:ind w:firstLine="540"/>
        <w:jc w:val="both"/>
      </w:pPr>
      <w:r w:rsidRPr="003E68F5">
        <w:lastRenderedPageBreak/>
        <w:t>4. Приложение к закону изложить в новой редакции согласно приложению к настоящему закону.</w:t>
      </w:r>
    </w:p>
    <w:p w:rsidR="00AC7B7C" w:rsidRPr="003E68F5" w:rsidRDefault="00AC7B7C">
      <w:pPr>
        <w:pStyle w:val="ConsPlusNormal"/>
      </w:pPr>
    </w:p>
    <w:p w:rsidR="00AC7B7C" w:rsidRPr="003E68F5" w:rsidRDefault="00AC7B7C">
      <w:pPr>
        <w:pStyle w:val="ConsPlusTitle"/>
        <w:ind w:firstLine="540"/>
        <w:jc w:val="both"/>
        <w:outlineLvl w:val="1"/>
      </w:pPr>
      <w:r w:rsidRPr="003E68F5">
        <w:t>Статья 2</w:t>
      </w:r>
    </w:p>
    <w:p w:rsidR="00AC7B7C" w:rsidRPr="003E68F5" w:rsidRDefault="00AC7B7C">
      <w:pPr>
        <w:pStyle w:val="ConsPlusNormal"/>
      </w:pPr>
    </w:p>
    <w:p w:rsidR="00AC7B7C" w:rsidRPr="003E68F5" w:rsidRDefault="00AC7B7C">
      <w:pPr>
        <w:pStyle w:val="ConsPlusNormal"/>
        <w:ind w:firstLine="540"/>
        <w:jc w:val="both"/>
      </w:pPr>
      <w:r w:rsidRPr="003E68F5">
        <w:t>Настоящий закон вступает в силу с 1 января 2004 года, но не ранее чем по истечении одного месяца со дня его первого официального опубликования и не ранее 1 числа очередного налогового периода по транспортному налогу.</w:t>
      </w:r>
    </w:p>
    <w:p w:rsidR="00AC7B7C" w:rsidRPr="003E68F5" w:rsidRDefault="00AC7B7C">
      <w:pPr>
        <w:pStyle w:val="ConsPlusNormal"/>
        <w:spacing w:after="1"/>
      </w:pPr>
    </w:p>
    <w:p w:rsidR="00AC7B7C" w:rsidRPr="003E68F5" w:rsidRDefault="00AC7B7C">
      <w:pPr>
        <w:pStyle w:val="ConsPlusNormal"/>
        <w:spacing w:before="280"/>
        <w:ind w:firstLine="540"/>
        <w:jc w:val="both"/>
      </w:pPr>
      <w:r w:rsidRPr="003E68F5">
        <w:t>Абзац исключен. - Закон Амурской области от 04.06.2004 N 325-ОЗ.</w:t>
      </w:r>
    </w:p>
    <w:p w:rsidR="00AC7B7C" w:rsidRPr="003E68F5" w:rsidRDefault="00AC7B7C">
      <w:pPr>
        <w:pStyle w:val="ConsPlusNormal"/>
      </w:pPr>
    </w:p>
    <w:p w:rsidR="00AC7B7C" w:rsidRPr="003E68F5" w:rsidRDefault="00AC7B7C">
      <w:pPr>
        <w:pStyle w:val="ConsPlusNormal"/>
        <w:jc w:val="right"/>
      </w:pPr>
      <w:r w:rsidRPr="003E68F5">
        <w:t>Губернатор</w:t>
      </w:r>
    </w:p>
    <w:p w:rsidR="00AC7B7C" w:rsidRPr="003E68F5" w:rsidRDefault="00AC7B7C">
      <w:pPr>
        <w:pStyle w:val="ConsPlusNormal"/>
        <w:jc w:val="right"/>
      </w:pPr>
      <w:r w:rsidRPr="003E68F5">
        <w:t>Амурской области</w:t>
      </w:r>
    </w:p>
    <w:p w:rsidR="00AC7B7C" w:rsidRPr="003E68F5" w:rsidRDefault="00AC7B7C">
      <w:pPr>
        <w:pStyle w:val="ConsPlusNormal"/>
        <w:jc w:val="right"/>
      </w:pPr>
      <w:r w:rsidRPr="003E68F5">
        <w:t>Л.В.КОРОТКОВ</w:t>
      </w:r>
    </w:p>
    <w:p w:rsidR="00AC7B7C" w:rsidRPr="003E68F5" w:rsidRDefault="00AC7B7C">
      <w:pPr>
        <w:pStyle w:val="ConsPlusNormal"/>
      </w:pPr>
    </w:p>
    <w:p w:rsidR="00AC7B7C" w:rsidRPr="003E68F5" w:rsidRDefault="00AC7B7C">
      <w:pPr>
        <w:pStyle w:val="ConsPlusNormal"/>
      </w:pPr>
      <w:r w:rsidRPr="003E68F5">
        <w:t>г. Благовещенск</w:t>
      </w:r>
    </w:p>
    <w:p w:rsidR="00AC7B7C" w:rsidRPr="003E68F5" w:rsidRDefault="00AC7B7C">
      <w:pPr>
        <w:pStyle w:val="ConsPlusNormal"/>
        <w:spacing w:before="220"/>
      </w:pPr>
      <w:r w:rsidRPr="003E68F5">
        <w:t>28 ноября 2003 года</w:t>
      </w:r>
    </w:p>
    <w:p w:rsidR="00AC7B7C" w:rsidRPr="003E68F5" w:rsidRDefault="00AC7B7C">
      <w:pPr>
        <w:pStyle w:val="ConsPlusNormal"/>
        <w:spacing w:before="220"/>
      </w:pPr>
      <w:r w:rsidRPr="003E68F5">
        <w:t>N 261-ОЗ</w:t>
      </w:r>
    </w:p>
    <w:p w:rsidR="00AC7B7C" w:rsidRPr="003E68F5" w:rsidRDefault="00AC7B7C">
      <w:pPr>
        <w:pStyle w:val="ConsPlusNormal"/>
      </w:pPr>
    </w:p>
    <w:p w:rsidR="00AC7B7C" w:rsidRPr="003E68F5" w:rsidRDefault="00AC7B7C">
      <w:pPr>
        <w:pStyle w:val="ConsPlusNormal"/>
      </w:pPr>
    </w:p>
    <w:p w:rsidR="00AC7B7C" w:rsidRPr="003E68F5" w:rsidRDefault="00AC7B7C">
      <w:pPr>
        <w:pStyle w:val="ConsPlusNormal"/>
      </w:pPr>
    </w:p>
    <w:p w:rsidR="00AC7B7C" w:rsidRPr="003E68F5" w:rsidRDefault="00AC7B7C">
      <w:pPr>
        <w:pStyle w:val="ConsPlusNormal"/>
      </w:pPr>
    </w:p>
    <w:p w:rsidR="00AC7B7C" w:rsidRPr="003E68F5" w:rsidRDefault="00AC7B7C">
      <w:pPr>
        <w:pStyle w:val="ConsPlusNormal"/>
      </w:pPr>
    </w:p>
    <w:sectPr w:rsidR="00AC7B7C" w:rsidRPr="003E68F5" w:rsidSect="003E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B7C"/>
    <w:rsid w:val="00122277"/>
    <w:rsid w:val="003E68F5"/>
    <w:rsid w:val="00780A0C"/>
    <w:rsid w:val="00AC7B7C"/>
    <w:rsid w:val="00C36BED"/>
    <w:rsid w:val="00D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8848"/>
  <w15:docId w15:val="{7FB8024D-C29D-457B-809E-84485D86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7B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7B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7B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7B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7B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7B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7B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Nadya</cp:lastModifiedBy>
  <cp:revision>2</cp:revision>
  <dcterms:created xsi:type="dcterms:W3CDTF">2023-06-09T02:54:00Z</dcterms:created>
  <dcterms:modified xsi:type="dcterms:W3CDTF">2023-06-12T01:31:00Z</dcterms:modified>
</cp:coreProperties>
</file>