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25" w:rsidRDefault="00FC1D25" w:rsidP="00FC1D25">
      <w:pPr>
        <w:spacing w:line="282" w:lineRule="auto"/>
        <w:ind w:firstLine="851"/>
        <w:jc w:val="center"/>
        <w:rPr>
          <w:b/>
          <w:sz w:val="28"/>
          <w:szCs w:val="28"/>
        </w:rPr>
      </w:pPr>
      <w:r w:rsidRPr="00FC1D25">
        <w:rPr>
          <w:b/>
          <w:sz w:val="28"/>
          <w:szCs w:val="28"/>
        </w:rPr>
        <w:t xml:space="preserve">О порядке заполнения Уведомления по </w:t>
      </w:r>
      <w:proofErr w:type="gramStart"/>
      <w:r w:rsidRPr="00FC1D25">
        <w:rPr>
          <w:b/>
          <w:sz w:val="28"/>
          <w:szCs w:val="28"/>
        </w:rPr>
        <w:t>внебиржевому</w:t>
      </w:r>
      <w:proofErr w:type="gramEnd"/>
      <w:r w:rsidRPr="00FC1D25">
        <w:rPr>
          <w:b/>
          <w:sz w:val="28"/>
          <w:szCs w:val="28"/>
        </w:rPr>
        <w:t xml:space="preserve"> </w:t>
      </w:r>
    </w:p>
    <w:p w:rsidR="00FC1D25" w:rsidRPr="00FC1D25" w:rsidRDefault="00FC1D25" w:rsidP="00FC1D25">
      <w:pPr>
        <w:spacing w:line="282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расчетному форварду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56052">
        <w:rPr>
          <w:sz w:val="28"/>
          <w:szCs w:val="28"/>
        </w:rPr>
        <w:t>В соответствии Порядк</w:t>
      </w:r>
      <w:r>
        <w:rPr>
          <w:sz w:val="28"/>
          <w:szCs w:val="28"/>
        </w:rPr>
        <w:t>ом</w:t>
      </w:r>
      <w:r w:rsidRPr="00A56052">
        <w:rPr>
          <w:sz w:val="28"/>
          <w:szCs w:val="28"/>
        </w:rPr>
        <w:t xml:space="preserve"> заполнения формы уведомления о контролируемых сделках (далее </w:t>
      </w:r>
      <w:r>
        <w:rPr>
          <w:sz w:val="28"/>
          <w:szCs w:val="28"/>
        </w:rPr>
        <w:t>–</w:t>
      </w:r>
      <w:r w:rsidRPr="00A56052">
        <w:rPr>
          <w:sz w:val="28"/>
          <w:szCs w:val="28"/>
        </w:rPr>
        <w:t xml:space="preserve"> Порядок</w:t>
      </w:r>
      <w:r>
        <w:rPr>
          <w:sz w:val="28"/>
          <w:szCs w:val="28"/>
        </w:rPr>
        <w:t>,</w:t>
      </w:r>
      <w:r w:rsidRPr="00A56EF5">
        <w:t xml:space="preserve"> </w:t>
      </w:r>
      <w:r w:rsidRPr="00A56EF5">
        <w:rPr>
          <w:sz w:val="28"/>
          <w:szCs w:val="28"/>
        </w:rPr>
        <w:t>Приложение N 3</w:t>
      </w:r>
      <w:r>
        <w:rPr>
          <w:sz w:val="28"/>
          <w:szCs w:val="28"/>
        </w:rPr>
        <w:t xml:space="preserve"> </w:t>
      </w:r>
      <w:r w:rsidRPr="00A56EF5">
        <w:rPr>
          <w:sz w:val="28"/>
          <w:szCs w:val="28"/>
        </w:rPr>
        <w:t>к приказу ФНС России</w:t>
      </w:r>
      <w:r>
        <w:rPr>
          <w:sz w:val="28"/>
          <w:szCs w:val="28"/>
        </w:rPr>
        <w:t xml:space="preserve"> </w:t>
      </w:r>
      <w:r w:rsidRPr="00A56EF5">
        <w:rPr>
          <w:sz w:val="28"/>
          <w:szCs w:val="28"/>
        </w:rPr>
        <w:t>от 27</w:t>
      </w:r>
      <w:r>
        <w:rPr>
          <w:sz w:val="28"/>
          <w:szCs w:val="28"/>
        </w:rPr>
        <w:t xml:space="preserve">.07.2012 </w:t>
      </w:r>
      <w:r w:rsidRPr="00A56EF5">
        <w:rPr>
          <w:sz w:val="28"/>
          <w:szCs w:val="28"/>
        </w:rPr>
        <w:t xml:space="preserve"> N ММВ-7-13/524@</w:t>
      </w:r>
      <w:r w:rsidRPr="00A56052">
        <w:rPr>
          <w:sz w:val="28"/>
          <w:szCs w:val="28"/>
        </w:rPr>
        <w:t xml:space="preserve">), </w:t>
      </w:r>
      <w:r w:rsidRPr="00A67C73">
        <w:rPr>
          <w:sz w:val="28"/>
          <w:szCs w:val="28"/>
        </w:rPr>
        <w:t>количественные, стоимостные и иные показатели Уведомления заполняются на основании данных первичных документов и (или) исходя из правил формирования доходов, расходов, стоимости активов в целях бухгалтерского учета.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Правила ведения бухгалтерского учета в кредитных организациях регламентируются Положением Банка России от 16.07.2012 N 385-П «О правилах ведения бухгалтерского учета в кредитных организациях, расположенных на территории Российской Федерации».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В соответствии с пунктом 1.19 Положения N 385-П учет операций с ценными бумагами и производными финансовыми инструментами ведется в соответствии с нормативными актами Банка России, регулирующими данные вопросы.</w:t>
      </w:r>
    </w:p>
    <w:p w:rsidR="00FC1D25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Порядок ведения бухгалтерского учета ПФИ определен Положением Банка России от 04.07.2011 N 372-П о порядке ведения бухгалтерского учета производных финансовых инструментов (далее также Положение N 372-П).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 xml:space="preserve">Положение N 372-П обязывает кредитные организации вести аналитический учет по видам производных финансовых инструментов в разрезе каждого договора или серии ПФИ, обращающегося на организованном рынке, определяемой спецификацией такого ПФИ или иными документами организатора торгов. </w:t>
      </w:r>
      <w:proofErr w:type="spellStart"/>
      <w:r w:rsidRPr="00A67C73">
        <w:rPr>
          <w:sz w:val="28"/>
          <w:szCs w:val="28"/>
        </w:rPr>
        <w:t>Сальдирование</w:t>
      </w:r>
      <w:proofErr w:type="spellEnd"/>
      <w:r w:rsidRPr="00A67C73">
        <w:rPr>
          <w:sz w:val="28"/>
          <w:szCs w:val="28"/>
        </w:rPr>
        <w:t xml:space="preserve"> стоимости ПФИ, представляющих собой актив или обязательство, и финансовых результатов </w:t>
      </w:r>
      <w:proofErr w:type="gramStart"/>
      <w:r w:rsidRPr="00A67C73">
        <w:rPr>
          <w:sz w:val="28"/>
          <w:szCs w:val="28"/>
        </w:rPr>
        <w:t>по</w:t>
      </w:r>
      <w:proofErr w:type="gramEnd"/>
      <w:r w:rsidRPr="00A67C73">
        <w:rPr>
          <w:sz w:val="28"/>
          <w:szCs w:val="28"/>
        </w:rPr>
        <w:t xml:space="preserve"> различным ПФИ не допускается. При этом аналитический учет доходов (расходов) от ПФИ должен обеспечить получение информации по каждому ПФИ.</w:t>
      </w:r>
    </w:p>
    <w:p w:rsidR="00FC1D25" w:rsidRPr="00A56052" w:rsidRDefault="00FC1D25" w:rsidP="00FC1D25">
      <w:pPr>
        <w:spacing w:line="282" w:lineRule="auto"/>
        <w:ind w:firstLine="851"/>
        <w:jc w:val="both"/>
        <w:rPr>
          <w:i/>
          <w:sz w:val="28"/>
          <w:szCs w:val="28"/>
        </w:rPr>
      </w:pPr>
      <w:r w:rsidRPr="00A56052">
        <w:rPr>
          <w:i/>
          <w:sz w:val="28"/>
          <w:szCs w:val="28"/>
        </w:rPr>
        <w:t>Раздел 1А</w:t>
      </w:r>
      <w:r>
        <w:rPr>
          <w:i/>
          <w:sz w:val="28"/>
          <w:szCs w:val="28"/>
        </w:rPr>
        <w:t xml:space="preserve"> Уведомления</w:t>
      </w:r>
      <w:r w:rsidRPr="00A56052">
        <w:rPr>
          <w:i/>
          <w:sz w:val="28"/>
          <w:szCs w:val="28"/>
        </w:rPr>
        <w:t>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В соответствии с пунктами 4.8 - 4.9 Порядка в пунктах 210 - 211 указываются код наименования сделки и код стороны данной сделки, которой является налогоплательщик, в соответствии с приложением N 1 к Порядку.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Поскольку приложение N 1 к Порядку не содержит специальных кодов для ПФИ, в пункте 210 «Код наименования сделки» раздела 1А указывается код 032 «Иное», соответственно в пункте 211 «Код стороны сделки» - код 052 «Иная сторона».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lastRenderedPageBreak/>
        <w:t>Согласно пункту 4.19 Порядка в пункте 300 «Сумма доходов налогоплательщика по контролируемой сделке (группе однородных сделок) в рублях» раздела 1А отражается сумма доходов налогоплательщика по контролируемой сделке (группе однородных сделок), определяемых в соответствии с правилами бухгалтерского учета, за календарный год в рублях.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Согласно пункту 4.21 Порядка в пункте 310 «Сумма расходов (убытков) налогоплательщика по контролируемой сделке (группе однородных сделок) в рублях» раздела 1А отражается сумма расходов налогоплательщика по контролируемой сделке (группе однородных сделок), определяемых в соответствии с правилами бухгалтерского учета, за календарный год в рублях.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 xml:space="preserve">Особенность расчетного форвардного контракта заключается в том, что одна сторона обязуется выплатить другой стороне на дату исполнения сделки (дата валютирования), сумму денежных средств в валюте расчетов (как </w:t>
      </w:r>
      <w:proofErr w:type="gramStart"/>
      <w:r w:rsidRPr="00A67C73">
        <w:rPr>
          <w:sz w:val="28"/>
          <w:szCs w:val="28"/>
        </w:rPr>
        <w:t>правило</w:t>
      </w:r>
      <w:proofErr w:type="gramEnd"/>
      <w:r w:rsidRPr="00A67C73">
        <w:rPr>
          <w:sz w:val="28"/>
          <w:szCs w:val="28"/>
        </w:rPr>
        <w:t xml:space="preserve"> торгуемая валюта или </w:t>
      </w:r>
      <w:proofErr w:type="spellStart"/>
      <w:r w:rsidRPr="00A67C73">
        <w:rPr>
          <w:sz w:val="28"/>
          <w:szCs w:val="28"/>
        </w:rPr>
        <w:t>контрвалюта</w:t>
      </w:r>
      <w:proofErr w:type="spellEnd"/>
      <w:r w:rsidRPr="00A67C73">
        <w:rPr>
          <w:sz w:val="28"/>
          <w:szCs w:val="28"/>
        </w:rPr>
        <w:t xml:space="preserve">) по курсу, способ определения которого согласован сторонами. </w:t>
      </w:r>
    </w:p>
    <w:p w:rsidR="00FC1D25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 xml:space="preserve">В расчетном форварде сумма денежных средств определяется как разница между величиной торгуемой валюты, рассчитанной по фиксированному курсу (или форвардный курс), согласованному сторонами на дату заключения сделки, и величиной торгуемой валюты, рассчитанной по курсу и на дату согласованную сторонами (курс </w:t>
      </w:r>
      <w:proofErr w:type="spellStart"/>
      <w:r w:rsidRPr="00A67C73">
        <w:rPr>
          <w:sz w:val="28"/>
          <w:szCs w:val="28"/>
        </w:rPr>
        <w:t>фиксинга</w:t>
      </w:r>
      <w:proofErr w:type="spellEnd"/>
      <w:r w:rsidRPr="00A67C73">
        <w:rPr>
          <w:sz w:val="28"/>
          <w:szCs w:val="28"/>
        </w:rPr>
        <w:t>).</w:t>
      </w:r>
    </w:p>
    <w:p w:rsidR="00FC1D25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Таким образом, в пунктах 300 и 310 раздела 1А налогоплательщику необходимо указать финансовый результат по форвардному договору, сформированный в бухгалтерском учете кредитной организации в разрезе аналитических счетов, открытых соответственно к счетам 70613 «Доходы от производных финансовых инструментов» и 70614 «Расходы по производственным финансовым инструментам».</w:t>
      </w:r>
    </w:p>
    <w:p w:rsidR="00FC1D25" w:rsidRPr="00A56052" w:rsidRDefault="00FC1D25" w:rsidP="00FC1D25">
      <w:pPr>
        <w:spacing w:line="282" w:lineRule="auto"/>
        <w:ind w:firstLine="851"/>
        <w:jc w:val="both"/>
        <w:rPr>
          <w:i/>
          <w:sz w:val="28"/>
          <w:szCs w:val="28"/>
        </w:rPr>
      </w:pPr>
      <w:r w:rsidRPr="00A56052">
        <w:rPr>
          <w:i/>
          <w:sz w:val="28"/>
          <w:szCs w:val="28"/>
        </w:rPr>
        <w:t>Раздел 1Б Уведомления.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В пункте 020 «Тип предмета сделки» раздела 1Б указывается код типа предмета сделки «3», что означает иной объект гражданских прав.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В пункте 030 «Наименование предмета сделки» отражается наименование предмета исполнения сделки согласно первичным документам.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 xml:space="preserve">Например, при совершении сделки по форвардному договору указывается направление сделки (купля или продажа), наименование базового актива, а также форвардный курс и курс </w:t>
      </w:r>
      <w:proofErr w:type="spellStart"/>
      <w:r w:rsidRPr="00A67C73">
        <w:rPr>
          <w:sz w:val="28"/>
          <w:szCs w:val="28"/>
        </w:rPr>
        <w:t>фиксинга</w:t>
      </w:r>
      <w:proofErr w:type="spellEnd"/>
      <w:r w:rsidRPr="00A67C73">
        <w:rPr>
          <w:sz w:val="28"/>
          <w:szCs w:val="28"/>
        </w:rPr>
        <w:t xml:space="preserve">. Например, </w:t>
      </w:r>
      <w:r w:rsidRPr="00A67C73">
        <w:rPr>
          <w:sz w:val="28"/>
          <w:szCs w:val="28"/>
        </w:rPr>
        <w:lastRenderedPageBreak/>
        <w:t xml:space="preserve">«Внебиржевой расчетный форвард. Продажа USD/RUB. Сумма 5000. Форвардный курс: 33.42. Курс </w:t>
      </w:r>
      <w:proofErr w:type="spellStart"/>
      <w:r w:rsidRPr="00A67C73">
        <w:rPr>
          <w:sz w:val="28"/>
          <w:szCs w:val="28"/>
        </w:rPr>
        <w:t>фиксинга</w:t>
      </w:r>
      <w:proofErr w:type="spellEnd"/>
      <w:r w:rsidRPr="00A67C73">
        <w:rPr>
          <w:sz w:val="28"/>
          <w:szCs w:val="28"/>
        </w:rPr>
        <w:t>: 30.02».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Пункты 040 «Код предмета сделки (код по ТН ВЭД)» и 043 «Код предмета сделки (код по ОКП)» раздела 1Б по сделкам ПФИ не заполняются.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В пункте 045 «Код предмета сделки (код по ОКВЭД)» листа раздела 1Б указывается код вида деятельности по ОКВЭД, в соответствии с которым оказываются услуги (выполняются работы или осуществляется иная деятельность), связанные с исполнением обязательств, возникших в результате контролируемой сделки. В случае совершения сделки ПФИ, например, допускается указывать код 65.23.4 «Заключение свопов, опционов и других биржевых сделок» даже в случае, если сделка ПФИ была заключена вне биржи.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В пункте 090 «Место совершения сделки (адрес места доставки (разгрузки) товара; оказания услуги, работы; совершения сделки с иными объектами гражданских прав)» в части биржевых сделок ПФИ указывается местонахождение организатора биржевых торгов, в отношении внебиржевых сделок ПФИ указывается местонахождение лица, представляющего Уведомление.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Пункт 100 «Код условия поставки» раздела 1Б Уведомления в отношении сделок ПФИ не заполняется.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В пункте 110 «Код единицы измерения по ОКЕИ» раздела 1Б в отношении сделок ПФИ используется единица измерения «штука» - код 796 по ОКЕИ, или «единица» - код 642 по ОКЕИ.</w:t>
      </w:r>
    </w:p>
    <w:p w:rsidR="00FC1D25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При этом в пункте 120 «Количество» раздела 1Б указывается количественная характеристика предмета исполнения сделки, которая будет соответствовать количеству штук (единиц) базисного актива форварда, например «500000» валюты доллар США - при отражении операции по поставке валюты во исполнение опциона сторонами сделки.</w:t>
      </w:r>
    </w:p>
    <w:p w:rsidR="00FC1D25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В пункте 130 «Цена (тариф) за единицу измерения без учета НДС, акцизов и пошлины, руб.» раздела 1Б отражается цена предмета исполнения сделки, указанная в первичных документах, а в случае отсутствия цены в первичном документе - исходя из правил формирования доходов, расходов, стоимости активов в целях бухгалтерского учета.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 xml:space="preserve">В пункте 140 «Итого стоимость без учета НДС, акцизов и пошлины, руб.» раздела 1Б отражается стоимость предмета исполнения сделки, указанная в первичных документах, а в случае отсутствия стоимости в </w:t>
      </w:r>
      <w:r w:rsidRPr="00A67C73">
        <w:rPr>
          <w:sz w:val="28"/>
          <w:szCs w:val="28"/>
        </w:rPr>
        <w:lastRenderedPageBreak/>
        <w:t>первичном документе - исходя из правил формирования доходов, расходов, стоимости активов в целях бухгалтерского учета.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 xml:space="preserve">При отражении операции выплаты разницы между форвардным курсом и курсом </w:t>
      </w:r>
      <w:proofErr w:type="spellStart"/>
      <w:r w:rsidRPr="00A67C73">
        <w:rPr>
          <w:sz w:val="28"/>
          <w:szCs w:val="28"/>
        </w:rPr>
        <w:t>фиксинга</w:t>
      </w:r>
      <w:proofErr w:type="spellEnd"/>
      <w:r w:rsidRPr="00A67C73">
        <w:rPr>
          <w:sz w:val="28"/>
          <w:szCs w:val="28"/>
        </w:rPr>
        <w:t xml:space="preserve"> умноженным на величину базисного актива, например сумму торгуемой валюты, и если форвард не предусматривает поставку базисного актива, то значения пунктов 130 и 140 раздела 1Б также будут совпадать и соответствовать сумме реализованной курсовой разницы.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 xml:space="preserve">В случае если форвард предусматривает поставку валюты, то в пункте 130 раздела 1Б указывается курс </w:t>
      </w:r>
      <w:proofErr w:type="spellStart"/>
      <w:r w:rsidRPr="00A67C73">
        <w:rPr>
          <w:sz w:val="28"/>
          <w:szCs w:val="28"/>
        </w:rPr>
        <w:t>фиксинга</w:t>
      </w:r>
      <w:proofErr w:type="spellEnd"/>
      <w:r w:rsidRPr="00A67C73">
        <w:rPr>
          <w:sz w:val="28"/>
          <w:szCs w:val="28"/>
        </w:rPr>
        <w:t xml:space="preserve"> в рублевом эквиваленте (округленное до целого числа). В свою очередь в пункте 140 раздела 1Б указывается не расчетное значение, полученное в результате произведения значений пунктов 120 и 130 раздела 1Б, а стоимость поставленной (приобретенной) валюты.</w:t>
      </w:r>
    </w:p>
    <w:p w:rsidR="00FC1D25" w:rsidRPr="00A67C73" w:rsidRDefault="00FC1D25" w:rsidP="00FC1D25">
      <w:pPr>
        <w:spacing w:line="282" w:lineRule="auto"/>
        <w:ind w:firstLine="851"/>
        <w:jc w:val="both"/>
        <w:rPr>
          <w:sz w:val="28"/>
          <w:szCs w:val="28"/>
        </w:rPr>
      </w:pPr>
      <w:r w:rsidRPr="00A67C73">
        <w:rPr>
          <w:sz w:val="28"/>
          <w:szCs w:val="28"/>
        </w:rPr>
        <w:t>В соответствии с пунктом 5.19 Порядка в пункте 150 «Дата совершения сделки (цифрами день, месяц, год)» указывается дата признания дохода или расхода, в зависимости от финансового результата по сделке, в бухгалтерском учете.</w:t>
      </w:r>
    </w:p>
    <w:p w:rsidR="007B70BB" w:rsidRDefault="007B70BB"/>
    <w:sectPr w:rsidR="007B70BB" w:rsidSect="007B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1D25"/>
    <w:rsid w:val="007B70BB"/>
    <w:rsid w:val="00FC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2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6350</Characters>
  <Application>Microsoft Office Word</Application>
  <DocSecurity>0</DocSecurity>
  <Lines>52</Lines>
  <Paragraphs>14</Paragraphs>
  <ScaleCrop>false</ScaleCrop>
  <Company>Microsoft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2800-00-178</dc:creator>
  <cp:lastModifiedBy>2800-00-178</cp:lastModifiedBy>
  <cp:revision>1</cp:revision>
  <dcterms:created xsi:type="dcterms:W3CDTF">2014-04-24T01:00:00Z</dcterms:created>
  <dcterms:modified xsi:type="dcterms:W3CDTF">2014-04-24T01:00:00Z</dcterms:modified>
</cp:coreProperties>
</file>