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5F" w:rsidRDefault="002D4A5F" w:rsidP="002D4A5F">
      <w:pPr>
        <w:spacing w:line="282" w:lineRule="auto"/>
        <w:ind w:firstLine="851"/>
        <w:jc w:val="center"/>
        <w:rPr>
          <w:b/>
          <w:sz w:val="28"/>
          <w:szCs w:val="28"/>
        </w:rPr>
      </w:pPr>
      <w:r w:rsidRPr="002D4A5F">
        <w:rPr>
          <w:b/>
          <w:sz w:val="28"/>
          <w:szCs w:val="28"/>
        </w:rPr>
        <w:t xml:space="preserve">О порядке заполнения Уведомления по сделке реализации (выбытия) облигаций и возмещении покупателем суммы </w:t>
      </w:r>
    </w:p>
    <w:p w:rsidR="002D4A5F" w:rsidRPr="002D4A5F" w:rsidRDefault="002D4A5F" w:rsidP="002D4A5F">
      <w:pPr>
        <w:spacing w:line="282" w:lineRule="auto"/>
        <w:ind w:firstLine="851"/>
        <w:jc w:val="center"/>
        <w:rPr>
          <w:b/>
          <w:sz w:val="28"/>
          <w:szCs w:val="28"/>
        </w:rPr>
      </w:pPr>
      <w:r w:rsidRPr="002D4A5F">
        <w:rPr>
          <w:b/>
          <w:sz w:val="28"/>
          <w:szCs w:val="28"/>
        </w:rPr>
        <w:t>начисленного купонного дохода</w:t>
      </w:r>
    </w:p>
    <w:p w:rsidR="002D4A5F" w:rsidRPr="002D4A5F" w:rsidRDefault="002D4A5F" w:rsidP="002D4A5F">
      <w:pPr>
        <w:spacing w:line="282" w:lineRule="auto"/>
        <w:ind w:firstLine="851"/>
        <w:jc w:val="center"/>
        <w:rPr>
          <w:b/>
          <w:sz w:val="28"/>
          <w:szCs w:val="28"/>
        </w:rPr>
      </w:pPr>
    </w:p>
    <w:p w:rsidR="002D4A5F" w:rsidRPr="00A67C73" w:rsidRDefault="002D4A5F" w:rsidP="002D4A5F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 xml:space="preserve">Правила ведения бухгалтерского учета в кредитных организациях регламентируются Положением Банка России от 16.07.2012 </w:t>
      </w:r>
      <w:r>
        <w:rPr>
          <w:sz w:val="28"/>
          <w:szCs w:val="28"/>
          <w:lang w:val="en-US"/>
        </w:rPr>
        <w:t>N</w:t>
      </w:r>
      <w:r w:rsidRPr="00A67C73">
        <w:rPr>
          <w:sz w:val="28"/>
          <w:szCs w:val="28"/>
        </w:rPr>
        <w:t xml:space="preserve"> 385-П «О правилах ведения бухгалтерского учета в кредитных организациях, расположенных на территории Российской Федерации» (далее – Положение </w:t>
      </w:r>
      <w:r>
        <w:rPr>
          <w:sz w:val="28"/>
          <w:szCs w:val="28"/>
          <w:lang w:val="en-US"/>
        </w:rPr>
        <w:t>N</w:t>
      </w:r>
      <w:r w:rsidRPr="00A67C73">
        <w:rPr>
          <w:sz w:val="28"/>
          <w:szCs w:val="28"/>
        </w:rPr>
        <w:t xml:space="preserve"> 385-П).</w:t>
      </w:r>
    </w:p>
    <w:p w:rsidR="002D4A5F" w:rsidRPr="00A67C73" w:rsidRDefault="002D4A5F" w:rsidP="002D4A5F">
      <w:pPr>
        <w:spacing w:line="282" w:lineRule="auto"/>
        <w:ind w:firstLine="851"/>
        <w:jc w:val="both"/>
        <w:rPr>
          <w:sz w:val="28"/>
          <w:szCs w:val="28"/>
        </w:rPr>
      </w:pPr>
      <w:proofErr w:type="gramStart"/>
      <w:r w:rsidRPr="00A67C73">
        <w:rPr>
          <w:sz w:val="28"/>
          <w:szCs w:val="28"/>
        </w:rPr>
        <w:t xml:space="preserve">Согласно пункту 3.3.1 Приложения 10 «Порядок бухгалтерского учета вложений (инвестиций) в ценные бумаге и операций с ценными бумагами» (далее – Порядок бухгалтерского учета операций с ценными бумагами) к Положению </w:t>
      </w:r>
      <w:r>
        <w:rPr>
          <w:sz w:val="28"/>
          <w:szCs w:val="28"/>
          <w:lang w:val="en-US"/>
        </w:rPr>
        <w:t>N</w:t>
      </w:r>
      <w:r w:rsidRPr="00A67C73">
        <w:rPr>
          <w:sz w:val="28"/>
          <w:szCs w:val="28"/>
        </w:rPr>
        <w:t>385-П, стоимость долговых обязательств изменяется на сумму процентных доходов, начисленных до их выбытия, с учетом сумм входящих в цену приобретения.</w:t>
      </w:r>
      <w:proofErr w:type="gramEnd"/>
    </w:p>
    <w:p w:rsidR="002D4A5F" w:rsidRPr="00A67C73" w:rsidRDefault="002D4A5F" w:rsidP="002D4A5F">
      <w:pPr>
        <w:spacing w:line="282" w:lineRule="auto"/>
        <w:ind w:firstLine="851"/>
        <w:jc w:val="both"/>
        <w:rPr>
          <w:sz w:val="28"/>
          <w:szCs w:val="28"/>
        </w:rPr>
      </w:pPr>
      <w:proofErr w:type="gramStart"/>
      <w:r w:rsidRPr="00A67C73">
        <w:rPr>
          <w:sz w:val="28"/>
          <w:szCs w:val="28"/>
        </w:rPr>
        <w:t>Следует отметить, что особенностью совершения сделок по приобретению или выбытию долговых обязательств, в частности облигаций, является сложившаяся деловая практика, согласно которой покупатель облигаций, предусматривающих купонные выплаты, включает в цену приобретения не только стоимость облигации (процент от номинальной стоимости), но также накопленный купонный доход (часть начисленного процентного (купонного) дохода в виде процента к номинальной стоимости облигации пропорционально количеству дней, прошедших от</w:t>
      </w:r>
      <w:proofErr w:type="gramEnd"/>
      <w:r w:rsidRPr="00A67C73">
        <w:rPr>
          <w:sz w:val="28"/>
          <w:szCs w:val="28"/>
        </w:rPr>
        <w:t xml:space="preserve"> даты выпуска облигации или даты выплаты предшествующего купонного дохода). Таким образом, продавец (предыдущий номинальный владелец облигации) получает также проценты за время владения облигацией, например </w:t>
      </w:r>
      <w:proofErr w:type="gramStart"/>
      <w:r w:rsidRPr="00A67C73">
        <w:rPr>
          <w:sz w:val="28"/>
          <w:szCs w:val="28"/>
        </w:rPr>
        <w:t>с даты</w:t>
      </w:r>
      <w:proofErr w:type="gramEnd"/>
      <w:r w:rsidRPr="00A67C73">
        <w:rPr>
          <w:sz w:val="28"/>
          <w:szCs w:val="28"/>
        </w:rPr>
        <w:t xml:space="preserve"> последней выплаты купонов, и не несет процентных потерь от продажи. При этом, как правило, в договорах сумма накопленного купонного дохода указывается отдельным пунктом.</w:t>
      </w:r>
    </w:p>
    <w:p w:rsidR="002D4A5F" w:rsidRPr="00A67C73" w:rsidRDefault="002D4A5F" w:rsidP="002D4A5F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 xml:space="preserve">Кроме того, согласно пункту 3.3.2. </w:t>
      </w:r>
      <w:proofErr w:type="gramStart"/>
      <w:r w:rsidRPr="00A67C73">
        <w:rPr>
          <w:sz w:val="28"/>
          <w:szCs w:val="28"/>
        </w:rPr>
        <w:t>Порядка бухгалтерского учета операций с ценными бумагами бухгалтерский учет начисленного процентного (купонного) дохода ведется на отдельном (отдельных) лицевом (лицевых) счете (счетах), открываемых на соответствующих балансовых счетах второго порядка с кодом валюты, в которой выплачиваются проценты (погашается купон).</w:t>
      </w:r>
      <w:proofErr w:type="gramEnd"/>
    </w:p>
    <w:p w:rsidR="002D4A5F" w:rsidRDefault="002D4A5F" w:rsidP="002D4A5F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 xml:space="preserve">Учитывая </w:t>
      </w:r>
      <w:proofErr w:type="gramStart"/>
      <w:r w:rsidRPr="00A67C73">
        <w:rPr>
          <w:sz w:val="28"/>
          <w:szCs w:val="28"/>
        </w:rPr>
        <w:t>изложенное</w:t>
      </w:r>
      <w:proofErr w:type="gramEnd"/>
      <w:r w:rsidRPr="00A67C73">
        <w:rPr>
          <w:sz w:val="28"/>
          <w:szCs w:val="28"/>
        </w:rPr>
        <w:t xml:space="preserve">, в пункте 130 «Цена (тариф) за единицу измерения без учета НДС, акцизов и пошлины, руб.» при совершении сделки </w:t>
      </w:r>
      <w:r w:rsidRPr="00A67C73">
        <w:rPr>
          <w:sz w:val="28"/>
          <w:szCs w:val="28"/>
        </w:rPr>
        <w:lastRenderedPageBreak/>
        <w:t>выбытия (приобретения) долгового обязательства (облигации) указывается на отдельных листах раздела 1Б Уведомления</w:t>
      </w:r>
      <w:r>
        <w:rPr>
          <w:sz w:val="28"/>
          <w:szCs w:val="28"/>
        </w:rPr>
        <w:t>:</w:t>
      </w:r>
    </w:p>
    <w:p w:rsidR="002D4A5F" w:rsidRDefault="002D4A5F" w:rsidP="002D4A5F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>1) цена одной облигации (</w:t>
      </w:r>
      <w:proofErr w:type="gramStart"/>
      <w:r w:rsidRPr="00A67C73">
        <w:rPr>
          <w:sz w:val="28"/>
          <w:szCs w:val="28"/>
        </w:rPr>
        <w:t>процент</w:t>
      </w:r>
      <w:proofErr w:type="gramEnd"/>
      <w:r w:rsidRPr="00A67C73">
        <w:rPr>
          <w:sz w:val="28"/>
          <w:szCs w:val="28"/>
        </w:rPr>
        <w:t xml:space="preserve"> от номинальной стоимости облигации выраженный в рублях за 1 штуку) без учета накопленного купонного дохода, и </w:t>
      </w:r>
    </w:p>
    <w:p w:rsidR="002D4A5F" w:rsidRPr="00A67C73" w:rsidRDefault="002D4A5F" w:rsidP="002D4A5F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>2) величина накопленного купонного дохода.</w:t>
      </w:r>
    </w:p>
    <w:p w:rsidR="002D4A5F" w:rsidRPr="00A67C73" w:rsidRDefault="002D4A5F" w:rsidP="002D4A5F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>Соответственно в пункте 140 «Итого стоимость без учета НДС, акцизов и пошлины, руб.» на отдельных листах раздела 1Б указывается стоимость выбывших долговых обязательств (без учета накопленного купонного дохода) и величина накопленного купонного дохода. Во втором случае, значения пунктов 130 и 140 раздела 1Б будут совпадать.</w:t>
      </w:r>
    </w:p>
    <w:p w:rsidR="002D4A5F" w:rsidRPr="00A67C73" w:rsidRDefault="002D4A5F" w:rsidP="002D4A5F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>Согласно пункту 4.19 Порядка в пункте 300 «Сумма доходов налогоплательщика по контролируемой сделке (группе однородных сделок) в рублях» отражаются соответственно сумма доходов налогоплательщика по контролируемой сделке (группе однородных сделок), определяемых в соответствии с правилами бухгалтерского учета, за календарный год в рублях.</w:t>
      </w:r>
    </w:p>
    <w:p w:rsidR="002D4A5F" w:rsidRPr="00A67C73" w:rsidRDefault="002D4A5F" w:rsidP="002D4A5F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>Согласно пункту 3.4 Порядка бухгалтерского учета операций с ценными бумагами, финансовый результат при выбытии (реализации) и погашении ценных бумаг определяется как разница между стоимостью ценной бумаги и ценой погашения либо ценой выбытия (реализации), определенной договором.</w:t>
      </w:r>
    </w:p>
    <w:p w:rsidR="002D4A5F" w:rsidRPr="00A67C73" w:rsidRDefault="002D4A5F" w:rsidP="002D4A5F">
      <w:pPr>
        <w:spacing w:line="282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67C73">
        <w:rPr>
          <w:sz w:val="28"/>
          <w:szCs w:val="28"/>
        </w:rPr>
        <w:t xml:space="preserve"> Главе 2 «Принципы отражения вложений в ценные бумаги на счетах бухгалтерского учета» Порядка бухгалтерского учета операций с ценными бумагами определены положения по отражению на балансовых счетах кредитных организаций текущей (справедливой) стоимости ценных бумаг.</w:t>
      </w:r>
    </w:p>
    <w:p w:rsidR="002D4A5F" w:rsidRPr="00A67C73" w:rsidRDefault="002D4A5F" w:rsidP="002D4A5F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>Учитывая изложенное, в случае если по сделке с долговыми обязательствами в соответствии с правилами бухгалтерского учета образовался положительный финансовый результат (доход), как разница между текущей (справедливой) стоимостью облигации и ценой выбытия (реализации), определенной договоров, то сумма полученного дохода подлежит отражению в пункте 300 раздела 1А Уведомления.</w:t>
      </w:r>
    </w:p>
    <w:p w:rsidR="002D4A5F" w:rsidRDefault="002D4A5F" w:rsidP="002D4A5F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>В случае если же по сделке образовался отрицательный финансовый результат (расход), то сумма полученного расхода подлежит отражению в пункте 310 раздела 1А Уведомления.</w:t>
      </w:r>
    </w:p>
    <w:p w:rsidR="002D4A5F" w:rsidRPr="00A67C73" w:rsidRDefault="002D4A5F" w:rsidP="002D4A5F">
      <w:pPr>
        <w:spacing w:line="282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Также следует отметить, что в</w:t>
      </w:r>
      <w:r w:rsidRPr="00307E01">
        <w:rPr>
          <w:sz w:val="28"/>
          <w:szCs w:val="28"/>
        </w:rPr>
        <w:t xml:space="preserve"> пункте 020 «Тип предмета сделки» раздела 1Б </w:t>
      </w:r>
      <w:r>
        <w:rPr>
          <w:sz w:val="28"/>
          <w:szCs w:val="28"/>
        </w:rPr>
        <w:t xml:space="preserve">при совершении сделок с ценными бумагами и производными </w:t>
      </w:r>
      <w:r>
        <w:rPr>
          <w:sz w:val="28"/>
          <w:szCs w:val="28"/>
        </w:rPr>
        <w:lastRenderedPageBreak/>
        <w:t xml:space="preserve">финансовыми инструментами </w:t>
      </w:r>
      <w:r w:rsidRPr="00307E01">
        <w:rPr>
          <w:sz w:val="28"/>
          <w:szCs w:val="28"/>
        </w:rPr>
        <w:t>указывается код типа предмета сделки «3», что означает иной объект гражданских прав.</w:t>
      </w:r>
    </w:p>
    <w:p w:rsidR="00B03667" w:rsidRDefault="00B03667"/>
    <w:sectPr w:rsidR="00B03667" w:rsidSect="00B03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4A5F"/>
    <w:rsid w:val="002D4A5F"/>
    <w:rsid w:val="00B03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"/>
    <w:basedOn w:val="a"/>
    <w:autoRedefine/>
    <w:rsid w:val="002D4A5F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3799</Characters>
  <Application>Microsoft Office Word</Application>
  <DocSecurity>0</DocSecurity>
  <Lines>31</Lines>
  <Paragraphs>8</Paragraphs>
  <ScaleCrop>false</ScaleCrop>
  <Company>Microsoft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2800-00-178</dc:creator>
  <cp:lastModifiedBy>2800-00-178</cp:lastModifiedBy>
  <cp:revision>1</cp:revision>
  <dcterms:created xsi:type="dcterms:W3CDTF">2014-04-23T00:49:00Z</dcterms:created>
  <dcterms:modified xsi:type="dcterms:W3CDTF">2014-04-23T00:51:00Z</dcterms:modified>
</cp:coreProperties>
</file>