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0B" w:rsidRDefault="0005460B" w:rsidP="0005460B">
      <w:pPr>
        <w:pStyle w:val="a3"/>
        <w:tabs>
          <w:tab w:val="left" w:pos="8100"/>
        </w:tabs>
        <w:spacing w:before="0" w:beforeAutospacing="0"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Приложение 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решению Совета МО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«_Новинский сельсовет»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 на территории муниципального образования «Новинский сельсовет»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«Новинский сельсовет».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1.Земельный налог (далее – налог) обязателен к уплате на всей территории муниципального образования «Новинский сельсовет».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2.Настоящим Положением в соответствии с Налоговым кодексом Российской Федерации на территории муниципального образования «Новинский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порядок доведения до сведения налогоплательщиков кадастровой стоимости земельных участков.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 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3. Налоговая ставка</w:t>
      </w:r>
    </w:p>
    <w:p w:rsidR="0005460B" w:rsidRDefault="0005460B" w:rsidP="0005460B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 по земельному налогу на территории МО «Новинский сельсовет» устанавливаются в следующих размерах: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ограниченных в обороте в соответствии с законодательством Российской Федерации,  предоставленных для обеспечения  обороны, безопасности и таможенных нужд; 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pStyle w:val="a3"/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 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« Новинский сельсовет»;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войны; 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местного самоуправления, в отношении принадлежащих им земельных участков, расположенных на территории МО «Новинский сельсовет».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460B" w:rsidRDefault="0005460B" w:rsidP="0005460B">
      <w:pPr>
        <w:pStyle w:val="a3"/>
        <w:numPr>
          <w:ilvl w:val="1"/>
          <w:numId w:val="1"/>
        </w:numPr>
        <w:tabs>
          <w:tab w:val="num" w:pos="0"/>
        </w:tabs>
        <w:spacing w:before="0" w:beforeAutospacing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Налоговые декларации по налогу представляются  налогоплательщиками </w:t>
      </w:r>
      <w:r>
        <w:rPr>
          <w:rFonts w:ascii="Times New Roman" w:hAnsi="Times New Roman" w:cs="Times New Roman"/>
          <w:sz w:val="28"/>
          <w:szCs w:val="28"/>
        </w:rPr>
        <w:t>- организациями не позднее 1 февраля года, следующего за истекшим налоговым периодом.</w:t>
      </w:r>
    </w:p>
    <w:p w:rsidR="0005460B" w:rsidRDefault="0005460B" w:rsidP="0005460B">
      <w:pPr>
        <w:pStyle w:val="a3"/>
        <w:numPr>
          <w:ilvl w:val="1"/>
          <w:numId w:val="1"/>
        </w:numPr>
        <w:tabs>
          <w:tab w:val="num" w:pos="0"/>
        </w:tabs>
        <w:spacing w:before="0" w:beforeAutospacing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Налогоплательщики-организации в течение налогового периода уплачивают три авансовых платежа по земельному налогу по истечении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первого, второго и третьего квартала текущего налогового периода, не позднее последнего числа месяца, следующего за истекшим отчетным периодом. 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Уплата земельного налога в бюджет производится налогоплательщиками - физическими лицами не позднее 1 октября года, следующего за истекшим налоговым периодом.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05460B" w:rsidRDefault="0005460B" w:rsidP="0005460B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pStyle w:val="a3"/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Порядок доведения до сведения налогоплательщиков кадастровой стоимости земельных участков</w:t>
      </w:r>
    </w:p>
    <w:p w:rsidR="0005460B" w:rsidRDefault="0005460B" w:rsidP="00054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 </w:t>
      </w:r>
      <w:proofErr w:type="gramEnd"/>
    </w:p>
    <w:p w:rsidR="0005460B" w:rsidRDefault="0005460B" w:rsidP="0005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0B" w:rsidRDefault="0005460B" w:rsidP="0005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A2F" w:rsidRDefault="00DF0A2F">
      <w:bookmarkStart w:id="0" w:name="_GoBack"/>
      <w:bookmarkEnd w:id="0"/>
    </w:p>
    <w:sectPr w:rsidR="00DF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B"/>
    <w:rsid w:val="0005460B"/>
    <w:rsid w:val="00D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60B"/>
    <w:pPr>
      <w:spacing w:before="100" w:beforeAutospacing="1" w:after="119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60B"/>
    <w:pPr>
      <w:spacing w:before="100" w:beforeAutospacing="1" w:after="119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2015-12-30T13:12:00Z</dcterms:created>
  <dcterms:modified xsi:type="dcterms:W3CDTF">2015-12-30T13:13:00Z</dcterms:modified>
</cp:coreProperties>
</file>