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147" w:rsidRDefault="00BD6147" w:rsidP="00BD6147">
      <w:pPr>
        <w:spacing w:after="0" w:line="240" w:lineRule="auto"/>
        <w:ind w:left="552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Утверждено</w:t>
      </w:r>
    </w:p>
    <w:p w:rsidR="00BD6147" w:rsidRDefault="00BD6147" w:rsidP="00BD6147">
      <w:pPr>
        <w:spacing w:after="0" w:line="240" w:lineRule="auto"/>
        <w:ind w:left="5529"/>
        <w:jc w:val="right"/>
        <w:rPr>
          <w:b/>
          <w:bCs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Решением Совета</w:t>
      </w:r>
    </w:p>
    <w:p w:rsidR="00BD6147" w:rsidRDefault="00BD6147" w:rsidP="00BD6147">
      <w:pPr>
        <w:spacing w:after="0" w:line="240" w:lineRule="auto"/>
        <w:ind w:left="552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Хуторской сельсовет</w:t>
      </w:r>
      <w:r>
        <w:rPr>
          <w:rStyle w:val="a3"/>
          <w:rFonts w:ascii="Times New Roman" w:hAnsi="Times New Roman" w:cs="Times New Roman"/>
          <w:sz w:val="28"/>
          <w:szCs w:val="28"/>
        </w:rPr>
        <w:t>»</w:t>
      </w:r>
    </w:p>
    <w:p w:rsidR="00BD6147" w:rsidRDefault="00BD6147" w:rsidP="00BD6147">
      <w:pPr>
        <w:spacing w:after="0" w:line="240" w:lineRule="auto"/>
        <w:ind w:left="552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от 18.11.2015 г. № 18</w:t>
      </w:r>
    </w:p>
    <w:p w:rsidR="00BD6147" w:rsidRDefault="00BD6147" w:rsidP="00BD6147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BD6147" w:rsidRDefault="00BD6147" w:rsidP="00BD6147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Положение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о налоге на имущество физических лиц </w:t>
      </w:r>
    </w:p>
    <w:p w:rsidR="00BD6147" w:rsidRDefault="00BD6147" w:rsidP="00BD6147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территории муниципального образования «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Хуторской сельсовет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</w:p>
    <w:p w:rsidR="00BD6147" w:rsidRDefault="00BD6147" w:rsidP="00BD6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147" w:rsidRDefault="00BD6147" w:rsidP="00BD614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BD6147" w:rsidRDefault="00BD6147" w:rsidP="00BD6147">
      <w:pPr>
        <w:spacing w:after="0" w:line="240" w:lineRule="auto"/>
        <w:ind w:left="166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BD6147" w:rsidRDefault="00BD6147" w:rsidP="00BD61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В соответствии с Налоговым кодексом Российской Федерации настоящим Положением определяются налоговые ставки и особенности определения налоговой базы, а также устанавливаются налоговые льготы, основания и порядок их применения налогоплательщиками.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BD6147" w:rsidRDefault="00BD6147" w:rsidP="00BD6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Иные элементы налогообложения по налогу на имущество физических лиц определяются Налоговым кодексом Российской Федерации.</w:t>
      </w:r>
    </w:p>
    <w:p w:rsidR="00BD6147" w:rsidRDefault="00BD6147" w:rsidP="00BD6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147" w:rsidRDefault="00BD6147" w:rsidP="00BD614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Налоговая база</w:t>
      </w:r>
    </w:p>
    <w:p w:rsidR="00BD6147" w:rsidRDefault="00BD6147" w:rsidP="00BD6147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BD6147" w:rsidRDefault="00BD6147" w:rsidP="00BD6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Налоговая база по налогу в отношении объектов налогообложения определяется исходя из их инвентаризационной стоимости, исчисленной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года, если иное не предусмотрено настоящим пунктом.  </w:t>
      </w:r>
    </w:p>
    <w:p w:rsidR="00BD6147" w:rsidRDefault="00BD6147" w:rsidP="00BD6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объектов налогообложения, включенных в перечень, определенный в соответствии с пунктом 7 статьи 378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а также объектов налогообложения, предусмотренных абзацем вторым пункта 10 статьи 378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налоговая база определяется как кадастровая стоимость указанных объектов.</w:t>
      </w:r>
    </w:p>
    <w:p w:rsidR="00BD6147" w:rsidRDefault="00BD6147" w:rsidP="00BD6147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0" w:name="sub_1012"/>
    </w:p>
    <w:p w:rsidR="00BD6147" w:rsidRDefault="00BD6147" w:rsidP="00BD6147">
      <w:pPr>
        <w:pStyle w:val="1"/>
        <w:numPr>
          <w:ilvl w:val="0"/>
          <w:numId w:val="1"/>
        </w:numPr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Налоговые ставки</w:t>
      </w:r>
    </w:p>
    <w:p w:rsidR="00BD6147" w:rsidRDefault="00BD6147" w:rsidP="00BD6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следующие налоговые ставки по налогу:</w:t>
      </w:r>
    </w:p>
    <w:p w:rsidR="00BD6147" w:rsidRDefault="00BD6147" w:rsidP="00BD6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655"/>
        <w:gridCol w:w="2990"/>
      </w:tblGrid>
      <w:tr w:rsidR="00BD6147" w:rsidTr="00BD6147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47" w:rsidRDefault="00BD6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Суммарная инвентаризационная стоимость объектов налогообложения, умноженная на коэффициент-дефлятор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(с учетом доли налогоплательщика в праве общей собственности на каждый из таких объектов)</w:t>
            </w:r>
          </w:p>
          <w:p w:rsidR="00BD6147" w:rsidRDefault="00BD6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47" w:rsidRDefault="00BD6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Ставка налога</w:t>
            </w:r>
          </w:p>
        </w:tc>
      </w:tr>
      <w:tr w:rsidR="00BD6147" w:rsidTr="00BD6147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47" w:rsidRDefault="00BD6147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300 000 рублей включительно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47" w:rsidRDefault="00BD6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0,1 процента         </w:t>
            </w:r>
          </w:p>
        </w:tc>
      </w:tr>
      <w:tr w:rsidR="00BD6147" w:rsidTr="00BD6147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47" w:rsidRDefault="00BD6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Свыше 300 000 до 500 000 рублей включительно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47" w:rsidRDefault="00BD6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0,2 процента             </w:t>
            </w:r>
          </w:p>
        </w:tc>
      </w:tr>
      <w:tr w:rsidR="00BD6147" w:rsidTr="00BD6147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47" w:rsidRDefault="00BD6147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Свыше 500 000 рублей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47" w:rsidRDefault="00BD6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1,25 процента</w:t>
            </w:r>
          </w:p>
        </w:tc>
      </w:tr>
    </w:tbl>
    <w:p w:rsidR="00BD6147" w:rsidRDefault="00BD6147" w:rsidP="00BD614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BD6147" w:rsidRDefault="00BD6147" w:rsidP="00BD6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iCs/>
          <w:sz w:val="28"/>
          <w:szCs w:val="28"/>
        </w:rPr>
        <w:t xml:space="preserve"> 1,25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процентов в отношении объектов налогообложения, указанных в абзаце втором пункта 2 настоящего Положения.</w:t>
      </w:r>
    </w:p>
    <w:p w:rsidR="00BD6147" w:rsidRDefault="00BD6147" w:rsidP="00BD6147">
      <w:pPr>
        <w:pStyle w:val="1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D6147" w:rsidRDefault="00BD6147" w:rsidP="00BD6147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4. Налоговые льготы</w:t>
      </w:r>
    </w:p>
    <w:p w:rsidR="00BD6147" w:rsidRDefault="00BD6147" w:rsidP="00BD6147">
      <w:pPr>
        <w:spacing w:after="0" w:line="240" w:lineRule="auto"/>
      </w:pPr>
    </w:p>
    <w:bookmarkEnd w:id="0"/>
    <w:p w:rsidR="00BD6147" w:rsidRDefault="00BD6147" w:rsidP="00BD6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 В соответствии с настоящим Положением в дополнение к перечню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категорий налогоплательщиков, имеющих право на налоговую льготу в соответствии с Налоговым кодексом Российской Федерации, право на налоговую льготу имеют следующие категории налогоплательщиков:</w:t>
      </w:r>
    </w:p>
    <w:p w:rsidR="00BD6147" w:rsidRDefault="00BD6147" w:rsidP="00BD6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 граждане, имеющие трех и более детей.</w:t>
      </w:r>
    </w:p>
    <w:p w:rsidR="00BD6147" w:rsidRDefault="00BD6147" w:rsidP="00BD6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4.2. 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BD6147" w:rsidRDefault="00BD6147" w:rsidP="00BD6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4.3. При определении подлежащей уплате налогоплательщиком суммы налога налоговая льгота предоставляется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налоговых льгот.</w:t>
      </w:r>
    </w:p>
    <w:p w:rsidR="00BD6147" w:rsidRDefault="00BD6147" w:rsidP="00BD6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4.4. </w:t>
      </w:r>
      <w:r>
        <w:rPr>
          <w:rFonts w:ascii="Times New Roman" w:hAnsi="Times New Roman" w:cs="Times New Roman"/>
          <w:sz w:val="28"/>
          <w:szCs w:val="28"/>
        </w:rPr>
        <w:t>Налоговая льгота не предоставляется в отношении объектов налогообложения, указанных в подпункте 2 пункта 2 статьи 406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D6147" w:rsidRDefault="00BD6147" w:rsidP="00BD6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4.5. </w:t>
      </w:r>
      <w:r>
        <w:rPr>
          <w:rFonts w:ascii="Times New Roman" w:hAnsi="Times New Roman" w:cs="Times New Roman"/>
          <w:sz w:val="28"/>
          <w:szCs w:val="28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D6147" w:rsidRDefault="00BD6147" w:rsidP="00BD6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4.6.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Порядок и сроки подачи уведомления о выбранных объектах налогообложения, в отношении которых предоставляется налоговая льгота, определяются в соответствии с положениями главы 32 Налогового кодекса Российской Федерации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BD6147" w:rsidRDefault="00BD6147" w:rsidP="00BD6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BD6147" w:rsidRDefault="00BD6147" w:rsidP="00BD6147"/>
    <w:p w:rsidR="00D82E78" w:rsidRDefault="00D82E78">
      <w:bookmarkStart w:id="1" w:name="_GoBack"/>
      <w:bookmarkEnd w:id="1"/>
    </w:p>
    <w:sectPr w:rsidR="00D82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multilevel"/>
    <w:tmpl w:val="944CCD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62" w:hanging="10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229" w:hanging="109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796" w:hanging="109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363" w:hanging="1095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47"/>
    <w:rsid w:val="00BD6147"/>
    <w:rsid w:val="00D8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47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BD614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6147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BD6147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47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BD614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6147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BD6147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9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2015-12-30T13:29:00Z</dcterms:created>
  <dcterms:modified xsi:type="dcterms:W3CDTF">2015-12-30T13:30:00Z</dcterms:modified>
</cp:coreProperties>
</file>