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82" w:rsidRDefault="00545D82" w:rsidP="00545D82">
      <w:pPr>
        <w:jc w:val="center"/>
      </w:pPr>
      <w:r>
        <w:t xml:space="preserve">                                                                                                                    УТВЕРЖДЕНО</w:t>
      </w:r>
    </w:p>
    <w:p w:rsidR="00545D82" w:rsidRDefault="00545D82" w:rsidP="00545D82">
      <w:pPr>
        <w:jc w:val="center"/>
      </w:pPr>
      <w:r>
        <w:t xml:space="preserve">                                                                                  Решением Совета </w:t>
      </w:r>
    </w:p>
    <w:p w:rsidR="00545D82" w:rsidRDefault="00545D82" w:rsidP="00545D82">
      <w:pPr>
        <w:jc w:val="center"/>
      </w:pPr>
      <w:r>
        <w:t xml:space="preserve">                                                                                                       муниципального образования</w:t>
      </w:r>
    </w:p>
    <w:p w:rsidR="00545D82" w:rsidRDefault="00545D82" w:rsidP="00545D82">
      <w:pPr>
        <w:jc w:val="center"/>
      </w:pPr>
      <w:r>
        <w:t xml:space="preserve">                                                                                               «</w:t>
      </w:r>
      <w:proofErr w:type="spellStart"/>
      <w:r>
        <w:t>Бирюковский</w:t>
      </w:r>
      <w:proofErr w:type="spellEnd"/>
      <w:r>
        <w:t xml:space="preserve"> сельсовет»</w:t>
      </w:r>
    </w:p>
    <w:p w:rsidR="00545D82" w:rsidRDefault="00545D82" w:rsidP="00545D82">
      <w:pPr>
        <w:jc w:val="center"/>
      </w:pPr>
      <w:r>
        <w:t xml:space="preserve">                                                                                                   от «25» ноября 2016г. № 27</w:t>
      </w:r>
    </w:p>
    <w:p w:rsidR="00545D82" w:rsidRDefault="00545D82" w:rsidP="00545D82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545D82" w:rsidRDefault="00545D82" w:rsidP="00545D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НАЛОГЕ НА ИМУЩЕСТВО ФИЗИЧЕСКИХ ЛИЦ НА ТЕРРИТОРИИ </w:t>
      </w:r>
    </w:p>
    <w:p w:rsidR="00545D82" w:rsidRDefault="00545D82" w:rsidP="00545D8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«БИРЮКОВСКИЙ СЕЛЬСОВЕТ»</w:t>
      </w:r>
    </w:p>
    <w:p w:rsidR="00545D82" w:rsidRDefault="00545D82" w:rsidP="00545D82">
      <w:pPr>
        <w:jc w:val="center"/>
        <w:rPr>
          <w:sz w:val="26"/>
          <w:szCs w:val="26"/>
        </w:rPr>
      </w:pPr>
    </w:p>
    <w:p w:rsidR="00545D82" w:rsidRDefault="00545D82" w:rsidP="00545D82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545D82" w:rsidRDefault="00545D82" w:rsidP="00545D8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Бирюковский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45D82" w:rsidRDefault="00545D82" w:rsidP="00545D8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45D82" w:rsidRDefault="00545D82" w:rsidP="00545D82">
      <w:pPr>
        <w:ind w:firstLine="567"/>
        <w:jc w:val="both"/>
        <w:rPr>
          <w:sz w:val="26"/>
          <w:szCs w:val="26"/>
        </w:rPr>
      </w:pPr>
    </w:p>
    <w:p w:rsidR="00545D82" w:rsidRDefault="00545D82" w:rsidP="00545D82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Налоговая ставка</w:t>
      </w:r>
    </w:p>
    <w:p w:rsidR="00545D82" w:rsidRDefault="00545D82" w:rsidP="00545D82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tbl>
      <w:tblPr>
        <w:tblW w:w="10068" w:type="dxa"/>
        <w:tblInd w:w="93" w:type="dxa"/>
        <w:tblLook w:val="04A0" w:firstRow="1" w:lastRow="0" w:firstColumn="1" w:lastColumn="0" w:noHBand="0" w:noVBand="1"/>
      </w:tblPr>
      <w:tblGrid>
        <w:gridCol w:w="8201"/>
        <w:gridCol w:w="1867"/>
      </w:tblGrid>
      <w:tr w:rsidR="00545D82" w:rsidTr="002D11E4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2" w:rsidRDefault="00545D82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отношении объектов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D82" w:rsidRDefault="00545D82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Ставка налога</w:t>
            </w:r>
          </w:p>
        </w:tc>
      </w:tr>
      <w:tr w:rsidR="00545D82" w:rsidTr="002D11E4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-жилые дома;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82" w:rsidRDefault="00545D82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0,3%</w:t>
            </w:r>
          </w:p>
        </w:tc>
      </w:tr>
      <w:tr w:rsidR="00545D82" w:rsidTr="002D11E4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-жилые помещения;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2" w:rsidRDefault="00545D82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545D82" w:rsidTr="002D11E4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-объекты незавершенного строительства, в случае если проектируемым назначением таких объектов является жилой дом;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2" w:rsidRDefault="00545D82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545D82" w:rsidTr="002D11E4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2" w:rsidRDefault="00545D82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545D82" w:rsidTr="002D11E4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-гараж и </w:t>
            </w:r>
            <w:proofErr w:type="spellStart"/>
            <w:r>
              <w:rPr>
                <w:color w:val="000000"/>
                <w:sz w:val="26"/>
                <w:szCs w:val="26"/>
              </w:rPr>
              <w:t>машино</w:t>
            </w:r>
            <w:proofErr w:type="spellEnd"/>
            <w:r>
              <w:rPr>
                <w:color w:val="000000"/>
                <w:sz w:val="26"/>
                <w:szCs w:val="26"/>
              </w:rPr>
              <w:t>-место;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2" w:rsidRDefault="00545D82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545D82" w:rsidTr="002D11E4">
        <w:trPr>
          <w:trHeight w:val="1481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2" w:rsidRDefault="00545D82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545D82" w:rsidTr="002D11E4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-объекты с кадастровой стоимостью свыше 300 миллионов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82" w:rsidRDefault="00545D82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2,0%</w:t>
            </w:r>
          </w:p>
        </w:tc>
      </w:tr>
      <w:tr w:rsidR="00545D82" w:rsidTr="002D11E4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-прочие объекты налогообложения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82" w:rsidRDefault="00545D82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0,5%</w:t>
            </w:r>
          </w:p>
        </w:tc>
      </w:tr>
      <w:tr w:rsidR="00545D82" w:rsidTr="002D11E4">
        <w:trPr>
          <w:trHeight w:val="70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5D82" w:rsidRDefault="00545D82" w:rsidP="002D11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-объекты, включенные в перечень, определяемый в соответствии с пунктом 7 статьи 378.2 части второй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82" w:rsidRDefault="00545D82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2,0%</w:t>
            </w:r>
          </w:p>
        </w:tc>
      </w:tr>
    </w:tbl>
    <w:p w:rsidR="00545D82" w:rsidRDefault="00545D82" w:rsidP="00545D82">
      <w:pPr>
        <w:pStyle w:val="a3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:rsidR="00545D82" w:rsidRDefault="00545D82" w:rsidP="00545D82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Налоговые льготы</w:t>
      </w:r>
    </w:p>
    <w:p w:rsidR="00545D82" w:rsidRDefault="00545D82" w:rsidP="00545D8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Право на налоговую льготу имеют категории налогоплательщиков, определенные  в пункте 1 статьи 407  части второй Налогового кодекса Российской Федерации.</w:t>
      </w:r>
    </w:p>
    <w:p w:rsidR="00545D82" w:rsidRDefault="00545D82" w:rsidP="00545D82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545D82" w:rsidRPr="00A87076" w:rsidRDefault="00545D82" w:rsidP="00545D82">
      <w:pPr>
        <w:jc w:val="both"/>
        <w:rPr>
          <w:sz w:val="27"/>
          <w:szCs w:val="27"/>
        </w:rPr>
      </w:pPr>
    </w:p>
    <w:p w:rsidR="00C14695" w:rsidRDefault="00C14695">
      <w:bookmarkStart w:id="0" w:name="_GoBack"/>
      <w:bookmarkEnd w:id="0"/>
    </w:p>
    <w:sectPr w:rsidR="00C14695" w:rsidSect="000C6A57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03B"/>
    <w:multiLevelType w:val="multilevel"/>
    <w:tmpl w:val="FAC4F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82"/>
    <w:rsid w:val="00545D82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2017-01-02T11:36:00Z</dcterms:created>
  <dcterms:modified xsi:type="dcterms:W3CDTF">2017-01-02T11:37:00Z</dcterms:modified>
</cp:coreProperties>
</file>