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F4" w:rsidRPr="00FC5FA5" w:rsidRDefault="00B000F4" w:rsidP="00B000F4">
      <w:pPr>
        <w:pStyle w:val="Style9"/>
        <w:widowControl/>
        <w:spacing w:line="240" w:lineRule="auto"/>
        <w:jc w:val="right"/>
        <w:rPr>
          <w:rStyle w:val="FontStyle26"/>
          <w:sz w:val="26"/>
          <w:szCs w:val="26"/>
          <w:u w:val="none"/>
        </w:rPr>
      </w:pPr>
      <w:r w:rsidRPr="00FC5FA5">
        <w:rPr>
          <w:rStyle w:val="FontStyle26"/>
          <w:sz w:val="26"/>
          <w:szCs w:val="26"/>
          <w:u w:val="none"/>
        </w:rPr>
        <w:t>Утверждено</w:t>
      </w:r>
    </w:p>
    <w:p w:rsidR="00B000F4" w:rsidRPr="00FC5FA5" w:rsidRDefault="00B000F4" w:rsidP="00B000F4">
      <w:pPr>
        <w:pStyle w:val="Style9"/>
        <w:widowControl/>
        <w:spacing w:line="240" w:lineRule="auto"/>
        <w:jc w:val="right"/>
        <w:rPr>
          <w:rStyle w:val="FontStyle26"/>
          <w:sz w:val="26"/>
          <w:szCs w:val="26"/>
          <w:u w:val="none"/>
        </w:rPr>
      </w:pPr>
      <w:r w:rsidRPr="00FC5FA5">
        <w:rPr>
          <w:rStyle w:val="FontStyle26"/>
          <w:sz w:val="26"/>
          <w:szCs w:val="26"/>
          <w:u w:val="none"/>
        </w:rPr>
        <w:t xml:space="preserve"> Решением Совета </w:t>
      </w:r>
    </w:p>
    <w:p w:rsidR="00B000F4" w:rsidRPr="00FC5FA5" w:rsidRDefault="00B000F4" w:rsidP="00B000F4">
      <w:pPr>
        <w:pStyle w:val="Style9"/>
        <w:widowControl/>
        <w:spacing w:line="240" w:lineRule="auto"/>
        <w:jc w:val="right"/>
        <w:rPr>
          <w:rStyle w:val="FontStyle26"/>
          <w:sz w:val="26"/>
          <w:szCs w:val="26"/>
          <w:u w:val="none"/>
        </w:rPr>
      </w:pPr>
      <w:r w:rsidRPr="00FC5FA5">
        <w:rPr>
          <w:rStyle w:val="FontStyle26"/>
          <w:sz w:val="26"/>
          <w:szCs w:val="26"/>
          <w:u w:val="none"/>
        </w:rPr>
        <w:t xml:space="preserve">муниципального образования </w:t>
      </w:r>
    </w:p>
    <w:p w:rsidR="00B000F4" w:rsidRPr="00FC5FA5" w:rsidRDefault="00B000F4" w:rsidP="00B000F4">
      <w:pPr>
        <w:pStyle w:val="Style9"/>
        <w:widowControl/>
        <w:spacing w:line="240" w:lineRule="auto"/>
        <w:jc w:val="right"/>
        <w:rPr>
          <w:rStyle w:val="FontStyle26"/>
          <w:sz w:val="26"/>
          <w:szCs w:val="26"/>
          <w:u w:val="none"/>
        </w:rPr>
      </w:pPr>
      <w:r w:rsidRPr="00FC5FA5">
        <w:rPr>
          <w:rStyle w:val="FontStyle26"/>
          <w:sz w:val="26"/>
          <w:szCs w:val="26"/>
          <w:u w:val="none"/>
        </w:rPr>
        <w:t>«</w:t>
      </w:r>
      <w:proofErr w:type="spellStart"/>
      <w:r w:rsidRPr="00FC5FA5">
        <w:rPr>
          <w:rStyle w:val="FontStyle26"/>
          <w:sz w:val="26"/>
          <w:szCs w:val="26"/>
          <w:u w:val="none"/>
        </w:rPr>
        <w:t>Ахтубинский</w:t>
      </w:r>
      <w:proofErr w:type="spellEnd"/>
      <w:r w:rsidRPr="00FC5FA5">
        <w:rPr>
          <w:rStyle w:val="FontStyle26"/>
          <w:sz w:val="26"/>
          <w:szCs w:val="26"/>
          <w:u w:val="none"/>
        </w:rPr>
        <w:t xml:space="preserve"> сельсовет» </w:t>
      </w:r>
    </w:p>
    <w:p w:rsidR="00B000F4" w:rsidRPr="00FC5FA5" w:rsidRDefault="00B000F4" w:rsidP="00B000F4">
      <w:pPr>
        <w:pStyle w:val="Style9"/>
        <w:widowControl/>
        <w:spacing w:line="240" w:lineRule="auto"/>
        <w:jc w:val="right"/>
        <w:rPr>
          <w:rStyle w:val="FontStyle26"/>
          <w:sz w:val="26"/>
          <w:szCs w:val="26"/>
          <w:u w:val="none"/>
        </w:rPr>
      </w:pPr>
      <w:r w:rsidRPr="00FC5FA5">
        <w:rPr>
          <w:rStyle w:val="FontStyle26"/>
          <w:sz w:val="26"/>
          <w:szCs w:val="26"/>
          <w:u w:val="none"/>
        </w:rPr>
        <w:t>от 11 ноября 2016г. № 32</w:t>
      </w:r>
    </w:p>
    <w:p w:rsidR="00B000F4" w:rsidRPr="00B000F4" w:rsidRDefault="00B000F4" w:rsidP="00B000F4">
      <w:pPr>
        <w:pStyle w:val="Style10"/>
        <w:widowControl/>
        <w:spacing w:line="240" w:lineRule="auto"/>
        <w:jc w:val="both"/>
        <w:rPr>
          <w:sz w:val="26"/>
          <w:szCs w:val="26"/>
        </w:rPr>
      </w:pPr>
    </w:p>
    <w:p w:rsidR="00B000F4" w:rsidRPr="00FC5FA5" w:rsidRDefault="00B000F4" w:rsidP="00B000F4">
      <w:pPr>
        <w:pStyle w:val="Style10"/>
        <w:widowControl/>
        <w:spacing w:line="240" w:lineRule="auto"/>
        <w:jc w:val="both"/>
        <w:rPr>
          <w:sz w:val="26"/>
          <w:szCs w:val="26"/>
        </w:rPr>
      </w:pP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  <w:szCs w:val="26"/>
          <w:u w:val="none"/>
        </w:rPr>
      </w:pPr>
      <w:r w:rsidRPr="00FC5FA5">
        <w:rPr>
          <w:rStyle w:val="FontStyle25"/>
          <w:sz w:val="26"/>
          <w:szCs w:val="26"/>
          <w:u w:val="none"/>
        </w:rPr>
        <w:t xml:space="preserve">Положение </w:t>
      </w: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  <w:szCs w:val="26"/>
          <w:u w:val="none"/>
        </w:rPr>
      </w:pPr>
      <w:r w:rsidRPr="00FC5FA5">
        <w:rPr>
          <w:rStyle w:val="FontStyle25"/>
          <w:sz w:val="26"/>
          <w:szCs w:val="26"/>
          <w:u w:val="none"/>
        </w:rPr>
        <w:t>о налоге на имущество физических лиц</w:t>
      </w: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  <w:szCs w:val="26"/>
          <w:u w:val="none"/>
        </w:rPr>
      </w:pPr>
      <w:r w:rsidRPr="00FC5FA5">
        <w:rPr>
          <w:rStyle w:val="FontStyle25"/>
          <w:sz w:val="26"/>
          <w:szCs w:val="26"/>
          <w:u w:val="none"/>
        </w:rPr>
        <w:t xml:space="preserve"> на территории муниципального образования</w:t>
      </w: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  <w:szCs w:val="26"/>
          <w:u w:val="none"/>
        </w:rPr>
      </w:pPr>
      <w:r w:rsidRPr="00FC5FA5">
        <w:rPr>
          <w:rStyle w:val="FontStyle25"/>
          <w:sz w:val="26"/>
          <w:szCs w:val="26"/>
          <w:u w:val="none"/>
        </w:rPr>
        <w:t>«</w:t>
      </w:r>
      <w:proofErr w:type="spellStart"/>
      <w:r w:rsidRPr="00FC5FA5">
        <w:rPr>
          <w:rStyle w:val="FontStyle25"/>
          <w:sz w:val="26"/>
          <w:szCs w:val="26"/>
          <w:u w:val="none"/>
        </w:rPr>
        <w:t>Ахтубинский</w:t>
      </w:r>
      <w:proofErr w:type="spellEnd"/>
      <w:r w:rsidRPr="00FC5FA5">
        <w:rPr>
          <w:rStyle w:val="FontStyle25"/>
          <w:sz w:val="26"/>
          <w:szCs w:val="26"/>
          <w:u w:val="none"/>
        </w:rPr>
        <w:t xml:space="preserve"> сельсовет»</w:t>
      </w:r>
    </w:p>
    <w:p w:rsidR="00B000F4" w:rsidRPr="00FC5FA5" w:rsidRDefault="00B000F4" w:rsidP="00B000F4">
      <w:pPr>
        <w:pStyle w:val="Style10"/>
        <w:widowControl/>
        <w:spacing w:line="240" w:lineRule="auto"/>
        <w:jc w:val="both"/>
        <w:rPr>
          <w:sz w:val="26"/>
        </w:rPr>
      </w:pPr>
    </w:p>
    <w:p w:rsidR="00B000F4" w:rsidRPr="00FC5FA5" w:rsidRDefault="00B000F4" w:rsidP="00B000F4">
      <w:pPr>
        <w:pStyle w:val="Style10"/>
        <w:widowControl/>
        <w:spacing w:line="240" w:lineRule="auto"/>
        <w:jc w:val="both"/>
        <w:rPr>
          <w:sz w:val="26"/>
        </w:rPr>
      </w:pPr>
    </w:p>
    <w:p w:rsidR="00B000F4" w:rsidRPr="00FC5FA5" w:rsidRDefault="00B000F4" w:rsidP="00B000F4">
      <w:pPr>
        <w:pStyle w:val="Style10"/>
        <w:widowControl/>
        <w:numPr>
          <w:ilvl w:val="0"/>
          <w:numId w:val="1"/>
        </w:numPr>
        <w:spacing w:line="240" w:lineRule="auto"/>
        <w:rPr>
          <w:rStyle w:val="FontStyle25"/>
          <w:b w:val="0"/>
          <w:position w:val="-7"/>
          <w:sz w:val="26"/>
          <w:lang w:val="en-US"/>
        </w:rPr>
      </w:pPr>
      <w:r w:rsidRPr="00FC5FA5">
        <w:rPr>
          <w:rStyle w:val="FontStyle25"/>
          <w:position w:val="-7"/>
          <w:sz w:val="26"/>
        </w:rPr>
        <w:t>Общие положения</w:t>
      </w:r>
    </w:p>
    <w:p w:rsidR="00B000F4" w:rsidRPr="00FC5FA5" w:rsidRDefault="00B000F4" w:rsidP="00B000F4">
      <w:pPr>
        <w:pStyle w:val="Style10"/>
        <w:widowControl/>
        <w:spacing w:line="240" w:lineRule="auto"/>
        <w:ind w:left="360"/>
        <w:jc w:val="both"/>
        <w:rPr>
          <w:bCs/>
          <w:position w:val="-7"/>
          <w:sz w:val="26"/>
          <w:lang w:val="en-US"/>
        </w:rPr>
      </w:pPr>
    </w:p>
    <w:p w:rsidR="00B000F4" w:rsidRPr="00FC5FA5" w:rsidRDefault="00B000F4" w:rsidP="00B000F4">
      <w:pPr>
        <w:pStyle w:val="Style13"/>
        <w:widowControl/>
        <w:spacing w:line="240" w:lineRule="auto"/>
        <w:ind w:right="125" w:firstLine="436"/>
        <w:rPr>
          <w:rStyle w:val="FontStyle26"/>
          <w:sz w:val="26"/>
          <w:u w:val="none"/>
        </w:rPr>
      </w:pPr>
      <w:r w:rsidRPr="00FC5FA5">
        <w:rPr>
          <w:rStyle w:val="FontStyle26"/>
          <w:sz w:val="26"/>
          <w:u w:val="none"/>
        </w:rPr>
        <w:t xml:space="preserve">1.1. </w:t>
      </w:r>
      <w:proofErr w:type="gramStart"/>
      <w:r w:rsidRPr="00FC5FA5">
        <w:rPr>
          <w:rStyle w:val="FontStyle26"/>
          <w:sz w:val="26"/>
          <w:u w:val="none"/>
        </w:rPr>
        <w:t>Налог на имущество физических лиц устанавливается 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Астраханской области от 03.11.2016г. № 66/2016-03 «О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proofErr w:type="gramEnd"/>
      <w:r w:rsidRPr="00FC5FA5">
        <w:rPr>
          <w:rStyle w:val="FontStyle26"/>
          <w:sz w:val="26"/>
          <w:u w:val="none"/>
        </w:rPr>
        <w:t>», Уставом муниципального образования «</w:t>
      </w:r>
      <w:proofErr w:type="spellStart"/>
      <w:r w:rsidRPr="00FC5FA5">
        <w:rPr>
          <w:rStyle w:val="FontStyle26"/>
          <w:sz w:val="26"/>
          <w:u w:val="none"/>
        </w:rPr>
        <w:t>Ахтубинский</w:t>
      </w:r>
      <w:proofErr w:type="spellEnd"/>
      <w:r w:rsidRPr="00FC5FA5">
        <w:rPr>
          <w:rStyle w:val="FontStyle26"/>
          <w:sz w:val="26"/>
          <w:u w:val="none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000F4" w:rsidRPr="00FC5FA5" w:rsidRDefault="00B000F4" w:rsidP="00B000F4">
      <w:pPr>
        <w:pStyle w:val="Style14"/>
        <w:widowControl/>
        <w:spacing w:line="240" w:lineRule="auto"/>
        <w:ind w:firstLine="720"/>
        <w:rPr>
          <w:rStyle w:val="FontStyle26"/>
          <w:sz w:val="26"/>
          <w:u w:val="none"/>
        </w:rPr>
      </w:pPr>
      <w:r w:rsidRPr="00FC5FA5">
        <w:rPr>
          <w:rStyle w:val="FontStyle26"/>
          <w:sz w:val="26"/>
          <w:u w:val="none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01 января года, являющегося налоговым периодом.</w:t>
      </w: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</w:rPr>
      </w:pPr>
    </w:p>
    <w:p w:rsidR="00B000F4" w:rsidRPr="00FC5FA5" w:rsidRDefault="00B000F4" w:rsidP="00B000F4">
      <w:pPr>
        <w:pStyle w:val="Style10"/>
        <w:widowControl/>
        <w:spacing w:line="240" w:lineRule="auto"/>
        <w:rPr>
          <w:rStyle w:val="FontStyle25"/>
          <w:b w:val="0"/>
          <w:sz w:val="26"/>
        </w:rPr>
      </w:pPr>
      <w:r w:rsidRPr="00FC5FA5">
        <w:rPr>
          <w:rStyle w:val="FontStyle25"/>
          <w:sz w:val="26"/>
        </w:rPr>
        <w:t>2. Налоговые ставки</w:t>
      </w:r>
    </w:p>
    <w:p w:rsidR="00B000F4" w:rsidRPr="00FC5FA5" w:rsidRDefault="00B000F4" w:rsidP="00B000F4">
      <w:pPr>
        <w:pStyle w:val="Style14"/>
        <w:widowControl/>
        <w:spacing w:line="240" w:lineRule="auto"/>
        <w:ind w:firstLine="720"/>
        <w:rPr>
          <w:rStyle w:val="FontStyle26"/>
          <w:sz w:val="26"/>
          <w:u w:val="none"/>
        </w:rPr>
      </w:pPr>
      <w:r w:rsidRPr="00FC5FA5">
        <w:rPr>
          <w:rStyle w:val="FontStyle26"/>
          <w:sz w:val="26"/>
          <w:u w:val="none"/>
        </w:rPr>
        <w:t xml:space="preserve">2.1. Ставки налога, на недвижимое имущество </w:t>
      </w:r>
      <w:proofErr w:type="gramStart"/>
      <w:r w:rsidRPr="00FC5FA5">
        <w:rPr>
          <w:rStyle w:val="FontStyle26"/>
          <w:sz w:val="26"/>
          <w:u w:val="none"/>
        </w:rPr>
        <w:t>исходя из кадастровой стоимости объекта налогообложения устанавливаются</w:t>
      </w:r>
      <w:proofErr w:type="gramEnd"/>
      <w:r w:rsidRPr="00FC5FA5">
        <w:rPr>
          <w:rStyle w:val="FontStyle26"/>
          <w:sz w:val="26"/>
          <w:u w:val="none"/>
        </w:rPr>
        <w:t xml:space="preserve"> в следующих размерах:</w:t>
      </w:r>
    </w:p>
    <w:p w:rsidR="00B000F4" w:rsidRPr="00FC5FA5" w:rsidRDefault="00B000F4" w:rsidP="00B000F4">
      <w:pPr>
        <w:widowControl/>
        <w:jc w:val="both"/>
        <w:rPr>
          <w:sz w:val="2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51"/>
        <w:gridCol w:w="1701"/>
      </w:tblGrid>
      <w:tr w:rsidR="00B000F4" w:rsidRPr="00FC5FA5" w:rsidTr="002D11E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В отношении 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Кадастровая стоимость объекта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000F4" w:rsidRPr="00FC5FA5" w:rsidRDefault="00B000F4" w:rsidP="002D11E4">
            <w:pPr>
              <w:pStyle w:val="a3"/>
              <w:tabs>
                <w:tab w:val="left" w:pos="743"/>
              </w:tabs>
              <w:ind w:right="34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Ставка налога</w:t>
            </w:r>
          </w:p>
        </w:tc>
      </w:tr>
      <w:tr w:rsidR="00B000F4" w:rsidRPr="00FC5FA5" w:rsidTr="002D11E4">
        <w:trPr>
          <w:trHeight w:val="1263"/>
        </w:trPr>
        <w:tc>
          <w:tcPr>
            <w:tcW w:w="652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>- жилые дома;</w:t>
            </w:r>
          </w:p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- жилые помещения; </w:t>
            </w:r>
          </w:p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B000F4" w:rsidRPr="00FC5FA5" w:rsidRDefault="00B000F4" w:rsidP="002D11E4">
            <w:pPr>
              <w:rPr>
                <w:sz w:val="26"/>
                <w:szCs w:val="26"/>
                <w:u w:val="none"/>
              </w:rPr>
            </w:pPr>
            <w:r w:rsidRPr="00FC5FA5">
              <w:rPr>
                <w:sz w:val="26"/>
                <w:szCs w:val="26"/>
                <w:u w:val="none"/>
              </w:rPr>
              <w:t xml:space="preserve">- единый недвижимый комплекс, в состав </w:t>
            </w:r>
            <w:proofErr w:type="gramStart"/>
            <w:r w:rsidRPr="00FC5FA5">
              <w:rPr>
                <w:sz w:val="26"/>
                <w:szCs w:val="26"/>
                <w:u w:val="none"/>
              </w:rPr>
              <w:t>которых</w:t>
            </w:r>
            <w:proofErr w:type="gramEnd"/>
            <w:r w:rsidRPr="00FC5FA5">
              <w:rPr>
                <w:sz w:val="26"/>
                <w:szCs w:val="26"/>
                <w:u w:val="none"/>
              </w:rPr>
              <w:t xml:space="preserve"> входит хотя бы одно жилое помещение;</w:t>
            </w:r>
          </w:p>
          <w:p w:rsidR="00B000F4" w:rsidRPr="00FC5FA5" w:rsidRDefault="00B000F4" w:rsidP="002D11E4">
            <w:pPr>
              <w:rPr>
                <w:sz w:val="26"/>
                <w:szCs w:val="26"/>
                <w:u w:val="none"/>
              </w:rPr>
            </w:pPr>
            <w:r w:rsidRPr="00FC5FA5">
              <w:rPr>
                <w:sz w:val="26"/>
                <w:szCs w:val="26"/>
                <w:u w:val="none"/>
              </w:rPr>
              <w:t xml:space="preserve">- гараж и </w:t>
            </w:r>
            <w:proofErr w:type="spellStart"/>
            <w:r w:rsidRPr="00FC5FA5">
              <w:rPr>
                <w:sz w:val="26"/>
                <w:szCs w:val="26"/>
                <w:u w:val="none"/>
              </w:rPr>
              <w:t>машино</w:t>
            </w:r>
            <w:proofErr w:type="spellEnd"/>
            <w:r w:rsidRPr="00FC5FA5">
              <w:rPr>
                <w:sz w:val="26"/>
                <w:szCs w:val="26"/>
                <w:u w:val="none"/>
              </w:rPr>
              <w:t>-место;</w:t>
            </w:r>
          </w:p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>кв.м</w:t>
            </w:r>
            <w:proofErr w:type="spellEnd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  <w:p w:rsidR="00B000F4" w:rsidRPr="00FC5FA5" w:rsidRDefault="00B000F4" w:rsidP="002D11E4">
            <w:pPr>
              <w:rPr>
                <w:sz w:val="26"/>
                <w:u w:val="none"/>
                <w:lang w:eastAsia="zh-CN"/>
              </w:rPr>
            </w:pPr>
          </w:p>
          <w:p w:rsidR="00B000F4" w:rsidRPr="00FC5FA5" w:rsidRDefault="00B000F4" w:rsidP="002D11E4">
            <w:pPr>
              <w:rPr>
                <w:sz w:val="26"/>
                <w:u w:val="none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До 1 </w:t>
            </w:r>
            <w:proofErr w:type="gramStart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>млн</w:t>
            </w:r>
            <w:proofErr w:type="gramEnd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  0,1</w:t>
            </w:r>
          </w:p>
        </w:tc>
      </w:tr>
      <w:tr w:rsidR="00B000F4" w:rsidRPr="00FC5FA5" w:rsidTr="002D11E4">
        <w:trPr>
          <w:trHeight w:val="837"/>
        </w:trPr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Свыше 1 до 10 </w:t>
            </w:r>
            <w:proofErr w:type="gramStart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>млн</w:t>
            </w:r>
            <w:proofErr w:type="gramEnd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>0,2</w:t>
            </w:r>
          </w:p>
          <w:p w:rsidR="00B000F4" w:rsidRPr="00FC5FA5" w:rsidRDefault="00B000F4" w:rsidP="002D11E4">
            <w:pPr>
              <w:rPr>
                <w:sz w:val="26"/>
                <w:szCs w:val="26"/>
                <w:u w:val="none"/>
              </w:rPr>
            </w:pPr>
          </w:p>
        </w:tc>
      </w:tr>
      <w:tr w:rsidR="00B000F4" w:rsidRPr="00FC5FA5" w:rsidTr="002D11E4">
        <w:trPr>
          <w:trHeight w:val="2548"/>
        </w:trPr>
        <w:tc>
          <w:tcPr>
            <w:tcW w:w="6521" w:type="dxa"/>
            <w:vMerge/>
            <w:tcBorders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Свыше 10 </w:t>
            </w:r>
            <w:proofErr w:type="gramStart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>млн</w:t>
            </w:r>
            <w:proofErr w:type="gramEnd"/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 xml:space="preserve"> рублей до 300 млн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szCs w:val="26"/>
                <w:u w:val="none"/>
                <w:lang w:eastAsia="ru-RU"/>
              </w:rPr>
              <w:t>0,3</w:t>
            </w:r>
          </w:p>
        </w:tc>
      </w:tr>
      <w:tr w:rsidR="00B000F4" w:rsidRPr="00FC5FA5" w:rsidTr="002D11E4">
        <w:trPr>
          <w:trHeight w:val="135"/>
        </w:trPr>
        <w:tc>
          <w:tcPr>
            <w:tcW w:w="65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u w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</w:p>
        </w:tc>
      </w:tr>
      <w:tr w:rsidR="00B000F4" w:rsidRPr="00FC5FA5" w:rsidTr="002D11E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 xml:space="preserve">-объекты с кадастровой стоимостью свыше 300 </w:t>
            </w:r>
            <w:proofErr w:type="gramStart"/>
            <w:r w:rsidRPr="00FC5FA5">
              <w:rPr>
                <w:rFonts w:ascii="Times New Roman" w:hAnsi="Times New Roman" w:cs="Times New Roman"/>
                <w:sz w:val="26"/>
                <w:u w:val="none"/>
              </w:rPr>
              <w:t>млн</w:t>
            </w:r>
            <w:proofErr w:type="gramEnd"/>
            <w:r w:rsidRPr="00FC5FA5">
              <w:rPr>
                <w:rFonts w:ascii="Times New Roman" w:hAnsi="Times New Roman" w:cs="Times New Roman"/>
                <w:sz w:val="26"/>
                <w:u w:val="none"/>
              </w:rPr>
              <w:t xml:space="preserve"> руб.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2%</w:t>
            </w:r>
          </w:p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</w:p>
        </w:tc>
      </w:tr>
      <w:tr w:rsidR="00B000F4" w:rsidRPr="00FC5FA5" w:rsidTr="002D11E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u w:val="none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lastRenderedPageBreak/>
              <w:t>- прочие объекты налогообложения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0,5%</w:t>
            </w:r>
          </w:p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</w:p>
        </w:tc>
      </w:tr>
      <w:tr w:rsidR="00B000F4" w:rsidRPr="00FC5FA5" w:rsidTr="002D11E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  <w:proofErr w:type="gramStart"/>
            <w:r w:rsidRPr="00FC5FA5">
              <w:rPr>
                <w:rFonts w:ascii="Times New Roman" w:hAnsi="Times New Roman" w:cs="Times New Roman"/>
                <w:sz w:val="26"/>
                <w:u w:val="none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B000F4" w:rsidRPr="00FC5FA5" w:rsidRDefault="00B000F4" w:rsidP="002D11E4">
            <w:pPr>
              <w:pStyle w:val="a3"/>
              <w:rPr>
                <w:rFonts w:ascii="Times New Roman" w:hAnsi="Times New Roman" w:cs="Times New Roman"/>
                <w:sz w:val="26"/>
                <w:u w:val="none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  <w:lang w:eastAsia="ru-RU"/>
              </w:rPr>
            </w:pPr>
            <w:r w:rsidRPr="00FC5FA5">
              <w:rPr>
                <w:rFonts w:ascii="Times New Roman" w:hAnsi="Times New Roman" w:cs="Times New Roman"/>
                <w:sz w:val="26"/>
                <w:u w:val="none"/>
              </w:rPr>
              <w:t>2%</w:t>
            </w:r>
          </w:p>
          <w:p w:rsidR="00B000F4" w:rsidRPr="00FC5FA5" w:rsidRDefault="00B000F4" w:rsidP="002D11E4">
            <w:pPr>
              <w:pStyle w:val="a3"/>
              <w:jc w:val="center"/>
              <w:rPr>
                <w:rFonts w:ascii="Times New Roman" w:hAnsi="Times New Roman" w:cs="Times New Roman"/>
                <w:sz w:val="26"/>
                <w:u w:val="none"/>
              </w:rPr>
            </w:pPr>
          </w:p>
        </w:tc>
      </w:tr>
    </w:tbl>
    <w:p w:rsidR="00B000F4" w:rsidRPr="00FC5FA5" w:rsidRDefault="00B000F4" w:rsidP="00B000F4">
      <w:pPr>
        <w:pStyle w:val="Style10"/>
        <w:widowControl/>
        <w:spacing w:line="240" w:lineRule="auto"/>
        <w:jc w:val="both"/>
        <w:rPr>
          <w:sz w:val="26"/>
        </w:rPr>
      </w:pPr>
    </w:p>
    <w:p w:rsidR="00B000F4" w:rsidRPr="00FC5FA5" w:rsidRDefault="00B000F4" w:rsidP="00B000F4">
      <w:pPr>
        <w:pStyle w:val="Style10"/>
        <w:widowControl/>
        <w:spacing w:line="240" w:lineRule="auto"/>
        <w:jc w:val="both"/>
        <w:rPr>
          <w:sz w:val="26"/>
        </w:rPr>
      </w:pPr>
    </w:p>
    <w:p w:rsidR="00B000F4" w:rsidRPr="00FC5FA5" w:rsidRDefault="00B000F4" w:rsidP="00B000F4">
      <w:pPr>
        <w:pStyle w:val="Style10"/>
        <w:widowControl/>
        <w:numPr>
          <w:ilvl w:val="0"/>
          <w:numId w:val="2"/>
        </w:numPr>
        <w:spacing w:line="240" w:lineRule="auto"/>
        <w:rPr>
          <w:rStyle w:val="FontStyle25"/>
          <w:b w:val="0"/>
          <w:sz w:val="26"/>
        </w:rPr>
      </w:pPr>
      <w:r w:rsidRPr="00FC5FA5">
        <w:rPr>
          <w:rStyle w:val="FontStyle25"/>
          <w:sz w:val="26"/>
        </w:rPr>
        <w:t>Порядок и сроки уплаты налога</w:t>
      </w:r>
    </w:p>
    <w:p w:rsidR="00B000F4" w:rsidRPr="00FC5FA5" w:rsidRDefault="00B000F4" w:rsidP="00B000F4">
      <w:pPr>
        <w:pStyle w:val="Style10"/>
        <w:widowControl/>
        <w:spacing w:line="240" w:lineRule="auto"/>
        <w:ind w:left="390"/>
        <w:jc w:val="left"/>
        <w:rPr>
          <w:rStyle w:val="FontStyle25"/>
          <w:b w:val="0"/>
          <w:sz w:val="26"/>
          <w:u w:val="none"/>
        </w:rPr>
      </w:pPr>
    </w:p>
    <w:p w:rsidR="00B000F4" w:rsidRPr="00FC5FA5" w:rsidRDefault="00B000F4" w:rsidP="00B000F4">
      <w:pPr>
        <w:pStyle w:val="Style10"/>
        <w:widowControl/>
        <w:numPr>
          <w:ilvl w:val="1"/>
          <w:numId w:val="2"/>
        </w:numPr>
        <w:spacing w:line="240" w:lineRule="auto"/>
        <w:ind w:left="0" w:firstLine="720"/>
        <w:jc w:val="both"/>
        <w:rPr>
          <w:rStyle w:val="FontStyle26"/>
          <w:bCs/>
          <w:sz w:val="26"/>
          <w:u w:val="none"/>
        </w:rPr>
      </w:pPr>
      <w:r w:rsidRPr="00FC5FA5">
        <w:rPr>
          <w:rStyle w:val="FontStyle26"/>
          <w:sz w:val="26"/>
          <w:u w:val="none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B000F4" w:rsidRPr="00FC5FA5" w:rsidRDefault="00B000F4" w:rsidP="00B000F4">
      <w:pPr>
        <w:pStyle w:val="Style10"/>
        <w:widowControl/>
        <w:numPr>
          <w:ilvl w:val="1"/>
          <w:numId w:val="2"/>
        </w:numPr>
        <w:spacing w:line="240" w:lineRule="auto"/>
        <w:ind w:left="0" w:firstLine="720"/>
        <w:jc w:val="both"/>
        <w:rPr>
          <w:rStyle w:val="FontStyle26"/>
          <w:bCs/>
          <w:sz w:val="26"/>
          <w:u w:val="none"/>
        </w:rPr>
      </w:pPr>
      <w:r w:rsidRPr="00FC5FA5">
        <w:rPr>
          <w:rStyle w:val="FontStyle26"/>
          <w:sz w:val="26"/>
          <w:u w:val="none"/>
        </w:rPr>
        <w:t>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C14695" w:rsidRDefault="00C14695">
      <w:bookmarkStart w:id="0" w:name="_GoBack"/>
      <w:bookmarkEnd w:id="0"/>
    </w:p>
    <w:sectPr w:rsidR="00C14695" w:rsidSect="00FC5FA5">
      <w:pgSz w:w="11907" w:h="16840" w:code="9"/>
      <w:pgMar w:top="357" w:right="357" w:bottom="357" w:left="709" w:header="720" w:footer="720" w:gutter="0"/>
      <w:cols w:space="6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66B"/>
    <w:multiLevelType w:val="hybridMultilevel"/>
    <w:tmpl w:val="6ACC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90039D"/>
    <w:multiLevelType w:val="multilevel"/>
    <w:tmpl w:val="833E43B4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F4"/>
    <w:rsid w:val="00B000F4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B000F4"/>
    <w:pPr>
      <w:spacing w:line="1005" w:lineRule="exact"/>
    </w:pPr>
  </w:style>
  <w:style w:type="paragraph" w:customStyle="1" w:styleId="Style10">
    <w:name w:val="Style10"/>
    <w:basedOn w:val="a"/>
    <w:uiPriority w:val="99"/>
    <w:rsid w:val="00B000F4"/>
    <w:pPr>
      <w:spacing w:line="1005" w:lineRule="exact"/>
      <w:jc w:val="center"/>
    </w:pPr>
  </w:style>
  <w:style w:type="paragraph" w:customStyle="1" w:styleId="Style13">
    <w:name w:val="Style13"/>
    <w:basedOn w:val="a"/>
    <w:uiPriority w:val="99"/>
    <w:rsid w:val="00B000F4"/>
    <w:pPr>
      <w:spacing w:line="1510" w:lineRule="exact"/>
      <w:ind w:firstLine="2310"/>
      <w:jc w:val="both"/>
    </w:pPr>
  </w:style>
  <w:style w:type="paragraph" w:customStyle="1" w:styleId="Style14">
    <w:name w:val="Style14"/>
    <w:basedOn w:val="a"/>
    <w:uiPriority w:val="99"/>
    <w:rsid w:val="00B000F4"/>
    <w:pPr>
      <w:spacing w:line="1505" w:lineRule="exact"/>
      <w:ind w:firstLine="1860"/>
      <w:jc w:val="both"/>
    </w:pPr>
  </w:style>
  <w:style w:type="character" w:customStyle="1" w:styleId="FontStyle25">
    <w:name w:val="Font Style25"/>
    <w:basedOn w:val="a0"/>
    <w:uiPriority w:val="99"/>
    <w:rsid w:val="00B000F4"/>
    <w:rPr>
      <w:rFonts w:ascii="Times New Roman" w:hAnsi="Times New Roman" w:cs="Times New Roman"/>
      <w:b/>
      <w:bCs/>
      <w:spacing w:val="-10"/>
      <w:sz w:val="84"/>
      <w:szCs w:val="84"/>
    </w:rPr>
  </w:style>
  <w:style w:type="character" w:customStyle="1" w:styleId="FontStyle26">
    <w:name w:val="Font Style26"/>
    <w:basedOn w:val="a0"/>
    <w:uiPriority w:val="99"/>
    <w:rsid w:val="00B000F4"/>
    <w:rPr>
      <w:rFonts w:ascii="Times New Roman" w:hAnsi="Times New Roman" w:cs="Times New Roman"/>
      <w:spacing w:val="-20"/>
      <w:sz w:val="88"/>
      <w:szCs w:val="88"/>
    </w:rPr>
  </w:style>
  <w:style w:type="paragraph" w:customStyle="1" w:styleId="a3">
    <w:name w:val="Нормальный (таблица)"/>
    <w:basedOn w:val="a"/>
    <w:next w:val="a"/>
    <w:uiPriority w:val="99"/>
    <w:rsid w:val="00B000F4"/>
    <w:pPr>
      <w:suppressAutoHyphens/>
      <w:autoSpaceDN/>
      <w:adjustRightInd/>
      <w:jc w:val="both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B000F4"/>
    <w:pPr>
      <w:spacing w:line="1005" w:lineRule="exact"/>
    </w:pPr>
  </w:style>
  <w:style w:type="paragraph" w:customStyle="1" w:styleId="Style10">
    <w:name w:val="Style10"/>
    <w:basedOn w:val="a"/>
    <w:uiPriority w:val="99"/>
    <w:rsid w:val="00B000F4"/>
    <w:pPr>
      <w:spacing w:line="1005" w:lineRule="exact"/>
      <w:jc w:val="center"/>
    </w:pPr>
  </w:style>
  <w:style w:type="paragraph" w:customStyle="1" w:styleId="Style13">
    <w:name w:val="Style13"/>
    <w:basedOn w:val="a"/>
    <w:uiPriority w:val="99"/>
    <w:rsid w:val="00B000F4"/>
    <w:pPr>
      <w:spacing w:line="1510" w:lineRule="exact"/>
      <w:ind w:firstLine="2310"/>
      <w:jc w:val="both"/>
    </w:pPr>
  </w:style>
  <w:style w:type="paragraph" w:customStyle="1" w:styleId="Style14">
    <w:name w:val="Style14"/>
    <w:basedOn w:val="a"/>
    <w:uiPriority w:val="99"/>
    <w:rsid w:val="00B000F4"/>
    <w:pPr>
      <w:spacing w:line="1505" w:lineRule="exact"/>
      <w:ind w:firstLine="1860"/>
      <w:jc w:val="both"/>
    </w:pPr>
  </w:style>
  <w:style w:type="character" w:customStyle="1" w:styleId="FontStyle25">
    <w:name w:val="Font Style25"/>
    <w:basedOn w:val="a0"/>
    <w:uiPriority w:val="99"/>
    <w:rsid w:val="00B000F4"/>
    <w:rPr>
      <w:rFonts w:ascii="Times New Roman" w:hAnsi="Times New Roman" w:cs="Times New Roman"/>
      <w:b/>
      <w:bCs/>
      <w:spacing w:val="-10"/>
      <w:sz w:val="84"/>
      <w:szCs w:val="84"/>
    </w:rPr>
  </w:style>
  <w:style w:type="character" w:customStyle="1" w:styleId="FontStyle26">
    <w:name w:val="Font Style26"/>
    <w:basedOn w:val="a0"/>
    <w:uiPriority w:val="99"/>
    <w:rsid w:val="00B000F4"/>
    <w:rPr>
      <w:rFonts w:ascii="Times New Roman" w:hAnsi="Times New Roman" w:cs="Times New Roman"/>
      <w:spacing w:val="-20"/>
      <w:sz w:val="88"/>
      <w:szCs w:val="88"/>
    </w:rPr>
  </w:style>
  <w:style w:type="paragraph" w:customStyle="1" w:styleId="a3">
    <w:name w:val="Нормальный (таблица)"/>
    <w:basedOn w:val="a"/>
    <w:next w:val="a"/>
    <w:uiPriority w:val="99"/>
    <w:rsid w:val="00B000F4"/>
    <w:pPr>
      <w:suppressAutoHyphens/>
      <w:autoSpaceDN/>
      <w:adjustRightInd/>
      <w:jc w:val="both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2017-01-02T11:32:00Z</dcterms:created>
  <dcterms:modified xsi:type="dcterms:W3CDTF">2017-01-02T11:33:00Z</dcterms:modified>
</cp:coreProperties>
</file>