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237" w:firstLine="0"/>
        <w:jc w:val="right"/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Утверждено</w:t>
      </w:r>
    </w:p>
    <w:p>
      <w:pPr>
        <w:spacing w:before="0" w:after="0" w:line="240"/>
        <w:ind w:right="0" w:left="540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решением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Совета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ЗАТО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Знаменск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                                                                             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u w:val="single"/>
          <w:shd w:fill="auto" w:val="clear"/>
        </w:rPr>
        <w:t xml:space="preserve"> 28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 » 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u w:val="single"/>
          <w:shd w:fill="auto" w:val="clear"/>
        </w:rPr>
        <w:t xml:space="preserve">ноября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 2016 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26282F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u w:val="single"/>
          <w:shd w:fill="auto" w:val="clear"/>
        </w:rPr>
        <w:t xml:space="preserve">103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исчисляемом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исходя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кадастровой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стоимости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Знаменск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26282F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положения</w:t>
      </w:r>
    </w:p>
    <w:p>
      <w:pPr>
        <w:spacing w:before="0" w:after="200" w:line="240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Знаменск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кодексом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законом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06.10.2003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131-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принципах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местного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самоуправления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Знаменск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местным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уплачивается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физическим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обладающим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собственности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признаваемое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настоящим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определяется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налогообложения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кадастровая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стоимость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указанная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государственном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кадастре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недвижимости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состоянию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января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являющегося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собственности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таких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определении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базы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жилым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домам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квартирам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комнатам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жилым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строениям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земельных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предоставленных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личного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подсобного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дачного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хозяйства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огородничества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садоводства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индивидуального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жилищного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строительства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применяются вычеты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установлены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статьей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403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кодекса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подлежит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уплате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налогоплательщиками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позднее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декабря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следующего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истекшим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периодом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Знаменск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льготы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граждан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статьей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407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кодекса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Налоговые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ставки</w:t>
      </w:r>
    </w:p>
    <w:p>
      <w:pPr>
        <w:spacing w:before="0" w:after="20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Ставки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налога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недвижимое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имущество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зависимости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кадастровой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стоимости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устанавливаются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следующих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размерах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</w:t>
      </w:r>
    </w:p>
    <w:tbl>
      <w:tblPr>
        <w:tblInd w:w="108" w:type="dxa"/>
      </w:tblPr>
      <w:tblGrid>
        <w:gridCol w:w="7513"/>
        <w:gridCol w:w="2233"/>
      </w:tblGrid>
      <w:tr>
        <w:trPr>
          <w:trHeight w:val="1" w:hRule="atLeast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Кадастровая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стоимость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) 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Ставка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налога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%</w:t>
            </w:r>
          </w:p>
        </w:tc>
      </w:tr>
      <w:tr>
        <w:trPr>
          <w:trHeight w:val="31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дома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23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включительно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0,1</w:t>
            </w:r>
          </w:p>
        </w:tc>
      </w:tr>
      <w:tr>
        <w:trPr>
          <w:trHeight w:val="276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Свыше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включительно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)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0,2</w:t>
            </w:r>
          </w:p>
        </w:tc>
      </w:tr>
      <w:tr>
        <w:trPr>
          <w:trHeight w:val="276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Свыше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108" w:type="dxa"/>
      </w:tblPr>
      <w:tblGrid>
        <w:gridCol w:w="7513"/>
        <w:gridCol w:w="2233"/>
      </w:tblGrid>
      <w:tr>
        <w:trPr>
          <w:trHeight w:val="276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Жилые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помещения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276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включительно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0,1</w:t>
            </w:r>
          </w:p>
        </w:tc>
      </w:tr>
      <w:tr>
        <w:trPr>
          <w:trHeight w:val="276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Свыше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включительно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)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0,2</w:t>
            </w:r>
          </w:p>
        </w:tc>
      </w:tr>
      <w:tr>
        <w:trPr>
          <w:trHeight w:val="276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Свыше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</w:t>
            </w:r>
          </w:p>
        </w:tc>
      </w:tr>
      <w:tr>
        <w:trPr>
          <w:trHeight w:val="276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Гаражи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машино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места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</w:t>
            </w:r>
          </w:p>
        </w:tc>
      </w:tr>
      <w:tr>
        <w:trPr>
          <w:trHeight w:val="55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незавершенного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строительства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55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Если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проектируемым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назначением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таких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является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дом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</w:t>
            </w:r>
          </w:p>
        </w:tc>
      </w:tr>
      <w:tr>
        <w:trPr>
          <w:trHeight w:val="55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назначения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0,5</w:t>
            </w:r>
          </w:p>
        </w:tc>
      </w:tr>
      <w:tr>
        <w:trPr>
          <w:trHeight w:val="55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Хозяйственные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строения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сооружения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площадь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каждого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превышает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расположены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земельных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участках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предоставленных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ведения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личного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подсобного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дачного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хозяйства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огородничества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садоводства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индивидуального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жилищного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строительства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</w:t>
            </w:r>
          </w:p>
        </w:tc>
      </w:tr>
      <w:tr>
        <w:trPr>
          <w:trHeight w:val="447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Единые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недвижимые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комплексы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55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включительно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0,1</w:t>
            </w:r>
          </w:p>
        </w:tc>
      </w:tr>
      <w:tr>
        <w:trPr>
          <w:trHeight w:val="55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Свыше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включительно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)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0,2</w:t>
            </w:r>
          </w:p>
        </w:tc>
      </w:tr>
      <w:tr>
        <w:trPr>
          <w:trHeight w:val="55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Свыше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млн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рублей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</w:t>
            </w:r>
          </w:p>
        </w:tc>
      </w:tr>
      <w:tr>
        <w:trPr>
          <w:trHeight w:val="1365" w:hRule="auto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включенные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перечень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определяемый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соответствии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пунктом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статьи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378.2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Налогового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кодекса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Российской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Федерации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абзацем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вторым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пункта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статьи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378.2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Налогового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кодекса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Российской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Федерации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административно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деловые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торговые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центры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нежилые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помещения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которые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используются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размещения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офисов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торговые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общественного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питания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бытового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обслуживания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)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2,0</w:t>
            </w:r>
          </w:p>
        </w:tc>
      </w:tr>
      <w:tr>
        <w:trPr>
          <w:trHeight w:val="1" w:hRule="atLeast"/>
          <w:jc w:val="left"/>
        </w:trPr>
        <w:tc>
          <w:tcPr>
            <w:tcW w:w="75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Прочие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объекты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налогообложения</w:t>
            </w:r>
          </w:p>
        </w:tc>
        <w:tc>
          <w:tcPr>
            <w:tcW w:w="22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0,3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