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56E" w:rsidRDefault="00AF556E" w:rsidP="00AF556E">
      <w:pPr>
        <w:pStyle w:val="Style14"/>
        <w:widowControl/>
        <w:spacing w:before="53" w:line="269" w:lineRule="exact"/>
        <w:ind w:left="6182"/>
        <w:rPr>
          <w:rStyle w:val="FontStyle20"/>
        </w:rPr>
      </w:pPr>
      <w:r>
        <w:rPr>
          <w:rStyle w:val="FontStyle20"/>
        </w:rPr>
        <w:t xml:space="preserve">Утверждено Решением Совета МО «Село </w:t>
      </w:r>
      <w:proofErr w:type="spellStart"/>
      <w:r>
        <w:rPr>
          <w:rStyle w:val="FontStyle20"/>
        </w:rPr>
        <w:t>Болхуны</w:t>
      </w:r>
      <w:proofErr w:type="spellEnd"/>
      <w:r>
        <w:rPr>
          <w:rStyle w:val="FontStyle20"/>
        </w:rPr>
        <w:t xml:space="preserve">» от 16.12.2015 г. №40 </w:t>
      </w:r>
      <w:proofErr w:type="gramStart"/>
      <w:r>
        <w:rPr>
          <w:rStyle w:val="FontStyle20"/>
        </w:rPr>
        <w:t xml:space="preserve">( </w:t>
      </w:r>
      <w:proofErr w:type="gramEnd"/>
      <w:r>
        <w:rPr>
          <w:rStyle w:val="FontStyle20"/>
        </w:rPr>
        <w:t>в ред. от 15.09.2016г. №25)</w:t>
      </w:r>
    </w:p>
    <w:p w:rsidR="00AF556E" w:rsidRDefault="00AF556E" w:rsidP="00AF556E">
      <w:pPr>
        <w:pStyle w:val="Style13"/>
        <w:widowControl/>
        <w:spacing w:line="240" w:lineRule="exact"/>
        <w:ind w:left="1277" w:right="1310"/>
        <w:rPr>
          <w:sz w:val="20"/>
          <w:szCs w:val="20"/>
        </w:rPr>
      </w:pPr>
    </w:p>
    <w:p w:rsidR="00AF556E" w:rsidRDefault="00AF556E" w:rsidP="00AF556E">
      <w:pPr>
        <w:pStyle w:val="Style13"/>
        <w:widowControl/>
        <w:spacing w:before="14" w:line="274" w:lineRule="exact"/>
        <w:ind w:left="1277" w:right="1310"/>
        <w:rPr>
          <w:rStyle w:val="FontStyle24"/>
        </w:rPr>
      </w:pPr>
      <w:r>
        <w:rPr>
          <w:rStyle w:val="FontStyle24"/>
        </w:rPr>
        <w:t xml:space="preserve">ПОЛОЖЕНИЕ об установлении налога на имущество физических лиц на территории муниципального образования «Село </w:t>
      </w:r>
      <w:proofErr w:type="spellStart"/>
      <w:r>
        <w:rPr>
          <w:rStyle w:val="FontStyle24"/>
        </w:rPr>
        <w:t>Болхуны</w:t>
      </w:r>
      <w:proofErr w:type="spellEnd"/>
      <w:r>
        <w:rPr>
          <w:rStyle w:val="FontStyle24"/>
        </w:rPr>
        <w:t>»</w:t>
      </w:r>
    </w:p>
    <w:p w:rsidR="00AF556E" w:rsidRDefault="00AF556E" w:rsidP="00AF556E">
      <w:pPr>
        <w:pStyle w:val="Style13"/>
        <w:widowControl/>
        <w:spacing w:line="240" w:lineRule="exact"/>
        <w:ind w:left="3701"/>
        <w:jc w:val="both"/>
        <w:rPr>
          <w:sz w:val="20"/>
          <w:szCs w:val="20"/>
        </w:rPr>
      </w:pPr>
    </w:p>
    <w:p w:rsidR="00AF556E" w:rsidRDefault="00AF556E" w:rsidP="00AF556E">
      <w:pPr>
        <w:pStyle w:val="Style13"/>
        <w:widowControl/>
        <w:spacing w:before="43"/>
        <w:ind w:left="3701"/>
        <w:jc w:val="both"/>
        <w:rPr>
          <w:rStyle w:val="FontStyle24"/>
        </w:rPr>
      </w:pPr>
      <w:r>
        <w:rPr>
          <w:rStyle w:val="FontStyle24"/>
        </w:rPr>
        <w:t>1. Общие положения</w:t>
      </w:r>
    </w:p>
    <w:p w:rsidR="00AF556E" w:rsidRDefault="00AF556E" w:rsidP="00AF556E">
      <w:pPr>
        <w:pStyle w:val="Style6"/>
        <w:widowControl/>
        <w:spacing w:line="240" w:lineRule="exact"/>
        <w:ind w:right="34" w:firstLine="739"/>
        <w:rPr>
          <w:sz w:val="20"/>
          <w:szCs w:val="20"/>
        </w:rPr>
      </w:pPr>
    </w:p>
    <w:p w:rsidR="00AF556E" w:rsidRDefault="00AF556E" w:rsidP="00AF556E">
      <w:pPr>
        <w:pStyle w:val="Style6"/>
        <w:widowControl/>
        <w:spacing w:before="34" w:line="269" w:lineRule="exact"/>
        <w:ind w:right="34" w:firstLine="739"/>
        <w:rPr>
          <w:rStyle w:val="FontStyle20"/>
        </w:rPr>
      </w:pPr>
      <w:r>
        <w:rPr>
          <w:rStyle w:val="FontStyle20"/>
        </w:rPr>
        <w:t xml:space="preserve">1.1 .Налог на имущество физических лиц устанавливается в соответствии с Налоговым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«Село </w:t>
      </w:r>
      <w:proofErr w:type="spellStart"/>
      <w:r>
        <w:rPr>
          <w:rStyle w:val="FontStyle20"/>
        </w:rPr>
        <w:t>Болхуны</w:t>
      </w:r>
      <w:proofErr w:type="spellEnd"/>
      <w:r>
        <w:rPr>
          <w:rStyle w:val="FontStyle20"/>
        </w:rPr>
        <w:t>», является местным налогом и уплачивается собственником в соответствии с настоящим Положением.</w:t>
      </w:r>
    </w:p>
    <w:p w:rsidR="00AF556E" w:rsidRDefault="00AF556E" w:rsidP="00AF556E">
      <w:pPr>
        <w:pStyle w:val="Style6"/>
        <w:widowControl/>
        <w:spacing w:before="5" w:line="269" w:lineRule="exact"/>
        <w:ind w:firstLine="739"/>
        <w:rPr>
          <w:rStyle w:val="FontStyle20"/>
        </w:rPr>
      </w:pPr>
      <w:r>
        <w:rPr>
          <w:rStyle w:val="FontStyle20"/>
        </w:rPr>
        <w:t>1.2.Налоговая база определяется в отношении каждого объекта налогообложения как его инвентаризационная стоимость, исчисленная с учетом коэффициента-дефлятора на основании последних данных об инвентаризационной стоимости, представленных в установленном порядке в налоговые органы до 1 марта 2013 года.</w:t>
      </w:r>
    </w:p>
    <w:p w:rsidR="00AF556E" w:rsidRDefault="00AF556E" w:rsidP="00AF556E">
      <w:pPr>
        <w:pStyle w:val="Style13"/>
        <w:widowControl/>
        <w:spacing w:line="240" w:lineRule="exact"/>
        <w:ind w:left="3902"/>
        <w:jc w:val="both"/>
        <w:rPr>
          <w:sz w:val="20"/>
          <w:szCs w:val="20"/>
        </w:rPr>
      </w:pPr>
    </w:p>
    <w:p w:rsidR="00AF556E" w:rsidRDefault="00AF556E" w:rsidP="00AF556E">
      <w:pPr>
        <w:pStyle w:val="Style13"/>
        <w:widowControl/>
        <w:spacing w:before="43"/>
        <w:ind w:left="3902"/>
        <w:jc w:val="both"/>
        <w:rPr>
          <w:rStyle w:val="FontStyle24"/>
        </w:rPr>
      </w:pPr>
      <w:r>
        <w:rPr>
          <w:rStyle w:val="FontStyle24"/>
        </w:rPr>
        <w:t>2. Налоговые ставки</w:t>
      </w:r>
    </w:p>
    <w:p w:rsidR="00AF556E" w:rsidRDefault="00AF556E" w:rsidP="00AF556E">
      <w:pPr>
        <w:pStyle w:val="Style6"/>
        <w:widowControl/>
        <w:spacing w:line="240" w:lineRule="exact"/>
        <w:rPr>
          <w:sz w:val="20"/>
          <w:szCs w:val="20"/>
        </w:rPr>
      </w:pPr>
    </w:p>
    <w:p w:rsidR="00AF556E" w:rsidRPr="00AF556E" w:rsidRDefault="00AF556E" w:rsidP="00AF556E">
      <w:pPr>
        <w:pStyle w:val="Style6"/>
        <w:widowControl/>
        <w:tabs>
          <w:tab w:val="left" w:leader="underscore" w:pos="5635"/>
        </w:tabs>
        <w:spacing w:before="34" w:line="269" w:lineRule="exact"/>
        <w:rPr>
          <w:rStyle w:val="FontStyle20"/>
          <w:lang w:val="en-US"/>
        </w:rPr>
      </w:pPr>
      <w:r>
        <w:rPr>
          <w:rStyle w:val="FontStyle20"/>
        </w:rPr>
        <w:t xml:space="preserve">2.1.Ставки налога на недвижимое имущество устанавливаются на </w:t>
      </w:r>
      <w:proofErr w:type="gramStart"/>
      <w:r>
        <w:rPr>
          <w:rStyle w:val="FontStyle20"/>
        </w:rPr>
        <w:t>основе</w:t>
      </w:r>
      <w:proofErr w:type="gramEnd"/>
      <w:r>
        <w:rPr>
          <w:rStyle w:val="FontStyle20"/>
        </w:rPr>
        <w:br/>
        <w:t xml:space="preserve">умноженной на коэффициент-дефлятор суммарной </w:t>
      </w:r>
      <w:bookmarkStart w:id="0" w:name="_GoBack"/>
      <w:r w:rsidRPr="00AF556E">
        <w:rPr>
          <w:rStyle w:val="FontStyle20"/>
        </w:rPr>
        <w:t>инвентаризационной стоимости</w:t>
      </w:r>
      <w:bookmarkEnd w:id="0"/>
      <w:r>
        <w:rPr>
          <w:rStyle w:val="FontStyle20"/>
        </w:rPr>
        <w:br/>
        <w:t>объектов налогообложения, принадлежащих на праве собственности налогоплательщику</w:t>
      </w:r>
      <w:r>
        <w:rPr>
          <w:rStyle w:val="FontStyle20"/>
        </w:rPr>
        <w:br/>
        <w:t>(с учетом доли налогоплательщика в праве общей собственности на каждый из таких</w:t>
      </w:r>
      <w:r>
        <w:rPr>
          <w:rStyle w:val="FontStyle20"/>
        </w:rPr>
        <w:br/>
        <w:t>объектов), расположенных в пределах одного муниципального образования в</w:t>
      </w:r>
      <w:r>
        <w:rPr>
          <w:rStyle w:val="FontStyle20"/>
        </w:rPr>
        <w:br/>
      </w:r>
      <w:r w:rsidRPr="00AF556E">
        <w:rPr>
          <w:rStyle w:val="FontStyle20"/>
        </w:rPr>
        <w:t>следующих размерах:</w:t>
      </w:r>
    </w:p>
    <w:p w:rsidR="00AF556E" w:rsidRDefault="00AF556E" w:rsidP="00AF556E">
      <w:pPr>
        <w:pStyle w:val="Style6"/>
        <w:widowControl/>
        <w:tabs>
          <w:tab w:val="left" w:leader="underscore" w:pos="5635"/>
        </w:tabs>
        <w:spacing w:before="34" w:line="269" w:lineRule="exact"/>
        <w:rPr>
          <w:rStyle w:val="FontStyle20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9"/>
        <w:gridCol w:w="4782"/>
      </w:tblGrid>
      <w:tr w:rsidR="00AF556E" w:rsidRPr="00AF556E" w:rsidTr="00AF556E">
        <w:tc>
          <w:tcPr>
            <w:tcW w:w="4809" w:type="dxa"/>
          </w:tcPr>
          <w:p w:rsidR="00AF556E" w:rsidRPr="00AF556E" w:rsidRDefault="00AF556E" w:rsidP="00AF556E">
            <w:pPr>
              <w:pStyle w:val="Style6"/>
              <w:widowControl/>
              <w:tabs>
                <w:tab w:val="left" w:leader="underscore" w:pos="5635"/>
              </w:tabs>
              <w:spacing w:before="34" w:line="269" w:lineRule="exact"/>
              <w:ind w:firstLine="0"/>
              <w:rPr>
                <w:rStyle w:val="FontStyle20"/>
              </w:rPr>
            </w:pPr>
            <w:r>
              <w:rPr>
                <w:rStyle w:val="FontStyle20"/>
              </w:rPr>
              <w:t>Суммарная инвентаризационная стоимость объектов</w:t>
            </w:r>
            <w:r>
              <w:rPr>
                <w:rStyle w:val="FontStyle20"/>
              </w:rPr>
              <w:br/>
              <w:t>налогообложения, умноженная на коэффициен</w:t>
            </w:r>
            <w:proofErr w:type="gramStart"/>
            <w:r>
              <w:rPr>
                <w:rStyle w:val="FontStyle20"/>
              </w:rPr>
              <w:t>т-</w:t>
            </w:r>
            <w:proofErr w:type="gramEnd"/>
            <w:r>
              <w:rPr>
                <w:rStyle w:val="FontStyle20"/>
              </w:rPr>
              <w:br/>
              <w:t>дефляторе учетом доли налогоплательщика в</w:t>
            </w:r>
            <w:r>
              <w:rPr>
                <w:rStyle w:val="FontStyle20"/>
              </w:rPr>
              <w:br/>
              <w:t>праве общей собственности на каждый из таких</w:t>
            </w:r>
            <w:r>
              <w:rPr>
                <w:rStyle w:val="FontStyle20"/>
              </w:rPr>
              <w:br/>
            </w:r>
            <w:r w:rsidRPr="00AF556E">
              <w:rPr>
                <w:rStyle w:val="FontStyle20"/>
              </w:rPr>
              <w:t>объектов)</w:t>
            </w:r>
          </w:p>
        </w:tc>
        <w:tc>
          <w:tcPr>
            <w:tcW w:w="4810" w:type="dxa"/>
          </w:tcPr>
          <w:p w:rsidR="00AF556E" w:rsidRDefault="00AF556E" w:rsidP="00AF556E">
            <w:pPr>
              <w:pStyle w:val="Style10"/>
              <w:widowControl/>
              <w:tabs>
                <w:tab w:val="left" w:leader="underscore" w:pos="2405"/>
              </w:tabs>
              <w:spacing w:line="269" w:lineRule="exact"/>
              <w:jc w:val="center"/>
              <w:rPr>
                <w:rStyle w:val="FontStyle20"/>
              </w:rPr>
            </w:pPr>
            <w:r>
              <w:rPr>
                <w:rStyle w:val="FontStyle20"/>
              </w:rPr>
              <w:t>Ставка налога</w:t>
            </w:r>
          </w:p>
          <w:p w:rsidR="00AF556E" w:rsidRPr="00AF556E" w:rsidRDefault="00AF556E" w:rsidP="00AF556E">
            <w:pPr>
              <w:pStyle w:val="Style6"/>
              <w:widowControl/>
              <w:tabs>
                <w:tab w:val="left" w:leader="underscore" w:pos="5635"/>
              </w:tabs>
              <w:spacing w:before="34" w:line="269" w:lineRule="exact"/>
              <w:ind w:firstLine="0"/>
              <w:jc w:val="center"/>
              <w:rPr>
                <w:rStyle w:val="FontStyle20"/>
              </w:rPr>
            </w:pPr>
          </w:p>
        </w:tc>
      </w:tr>
      <w:tr w:rsidR="00AF556E" w:rsidRPr="00AF556E" w:rsidTr="00AF556E">
        <w:tc>
          <w:tcPr>
            <w:tcW w:w="4809" w:type="dxa"/>
          </w:tcPr>
          <w:p w:rsidR="00AF556E" w:rsidRPr="00AF556E" w:rsidRDefault="00AF556E" w:rsidP="00AF556E">
            <w:pPr>
              <w:pStyle w:val="Style10"/>
              <w:widowControl/>
              <w:spacing w:before="19" w:line="240" w:lineRule="auto"/>
              <w:rPr>
                <w:rStyle w:val="FontStyle20"/>
              </w:rPr>
            </w:pPr>
            <w:r>
              <w:rPr>
                <w:rStyle w:val="FontStyle20"/>
              </w:rPr>
              <w:t>До 300 000 рублей включительно</w:t>
            </w:r>
          </w:p>
        </w:tc>
        <w:tc>
          <w:tcPr>
            <w:tcW w:w="4810" w:type="dxa"/>
          </w:tcPr>
          <w:p w:rsidR="00AF556E" w:rsidRPr="00AF556E" w:rsidRDefault="00AF556E" w:rsidP="00AF556E">
            <w:pPr>
              <w:pStyle w:val="Style6"/>
              <w:widowControl/>
              <w:tabs>
                <w:tab w:val="left" w:leader="underscore" w:pos="5635"/>
              </w:tabs>
              <w:spacing w:before="34" w:line="269" w:lineRule="exact"/>
              <w:ind w:firstLine="0"/>
              <w:jc w:val="center"/>
              <w:rPr>
                <w:rStyle w:val="FontStyle20"/>
              </w:rPr>
            </w:pPr>
            <w:r>
              <w:rPr>
                <w:rStyle w:val="FontStyle20"/>
              </w:rPr>
              <w:t>0,1 процент</w:t>
            </w:r>
          </w:p>
        </w:tc>
      </w:tr>
      <w:tr w:rsidR="00AF556E" w:rsidRPr="00AF556E" w:rsidTr="00AF556E">
        <w:tc>
          <w:tcPr>
            <w:tcW w:w="4809" w:type="dxa"/>
          </w:tcPr>
          <w:p w:rsidR="00AF556E" w:rsidRPr="00AF556E" w:rsidRDefault="00AF556E" w:rsidP="00AF556E">
            <w:pPr>
              <w:pStyle w:val="Style10"/>
              <w:widowControl/>
              <w:spacing w:line="274" w:lineRule="exact"/>
              <w:rPr>
                <w:rStyle w:val="FontStyle20"/>
              </w:rPr>
            </w:pPr>
            <w:r>
              <w:rPr>
                <w:rStyle w:val="FontStyle20"/>
              </w:rPr>
              <w:t>Свыше 300 000 рублей до 500 000 рублей включительно</w:t>
            </w:r>
          </w:p>
        </w:tc>
        <w:tc>
          <w:tcPr>
            <w:tcW w:w="4810" w:type="dxa"/>
          </w:tcPr>
          <w:p w:rsidR="00AF556E" w:rsidRDefault="00AF556E" w:rsidP="00AF556E">
            <w:pPr>
              <w:pStyle w:val="Style10"/>
              <w:widowControl/>
              <w:spacing w:before="19" w:line="240" w:lineRule="auto"/>
              <w:jc w:val="center"/>
              <w:rPr>
                <w:rStyle w:val="FontStyle20"/>
              </w:rPr>
            </w:pPr>
            <w:r>
              <w:rPr>
                <w:rStyle w:val="FontStyle20"/>
              </w:rPr>
              <w:t>0,3 процента</w:t>
            </w:r>
          </w:p>
          <w:p w:rsidR="00AF556E" w:rsidRPr="00AF556E" w:rsidRDefault="00AF556E" w:rsidP="00AF556E">
            <w:pPr>
              <w:pStyle w:val="Style6"/>
              <w:widowControl/>
              <w:tabs>
                <w:tab w:val="left" w:leader="underscore" w:pos="5635"/>
              </w:tabs>
              <w:spacing w:before="34" w:line="269" w:lineRule="exact"/>
              <w:ind w:firstLine="0"/>
              <w:jc w:val="center"/>
              <w:rPr>
                <w:rStyle w:val="FontStyle20"/>
              </w:rPr>
            </w:pPr>
          </w:p>
        </w:tc>
      </w:tr>
      <w:tr w:rsidR="00AF556E" w:rsidRPr="00AF556E" w:rsidTr="00AF556E">
        <w:tc>
          <w:tcPr>
            <w:tcW w:w="4809" w:type="dxa"/>
          </w:tcPr>
          <w:p w:rsidR="00AF556E" w:rsidRPr="00AF556E" w:rsidRDefault="00AF556E" w:rsidP="00AF556E">
            <w:pPr>
              <w:pStyle w:val="Style10"/>
              <w:widowControl/>
              <w:spacing w:line="240" w:lineRule="auto"/>
              <w:rPr>
                <w:rStyle w:val="FontStyle20"/>
              </w:rPr>
            </w:pPr>
            <w:r>
              <w:rPr>
                <w:rStyle w:val="FontStyle20"/>
              </w:rPr>
              <w:t>Свыше 500 000 рублей</w:t>
            </w:r>
          </w:p>
        </w:tc>
        <w:tc>
          <w:tcPr>
            <w:tcW w:w="4810" w:type="dxa"/>
          </w:tcPr>
          <w:p w:rsidR="00AF556E" w:rsidRPr="00AF556E" w:rsidRDefault="00AF556E" w:rsidP="00AF556E">
            <w:pPr>
              <w:pStyle w:val="Style10"/>
              <w:widowControl/>
              <w:spacing w:before="5" w:line="240" w:lineRule="auto"/>
              <w:jc w:val="center"/>
              <w:rPr>
                <w:rStyle w:val="FontStyle20"/>
              </w:rPr>
            </w:pPr>
            <w:r>
              <w:rPr>
                <w:rStyle w:val="FontStyle20"/>
              </w:rPr>
              <w:t>0,5 процента</w:t>
            </w:r>
          </w:p>
        </w:tc>
      </w:tr>
    </w:tbl>
    <w:p w:rsidR="00AF556E" w:rsidRDefault="00AF556E" w:rsidP="00AF556E">
      <w:pPr>
        <w:pStyle w:val="Style16"/>
        <w:widowControl/>
        <w:spacing w:before="230"/>
        <w:rPr>
          <w:rStyle w:val="FontStyle20"/>
        </w:rPr>
      </w:pPr>
      <w:r>
        <w:rPr>
          <w:rStyle w:val="FontStyle20"/>
        </w:rPr>
        <w:t>Налоги, начисленные на имущество физических лиц, зачисляются в соответствующие бюджеты по месту нахождения объекта налогообложения.</w:t>
      </w:r>
    </w:p>
    <w:p w:rsidR="00AF556E" w:rsidRDefault="00AF556E" w:rsidP="00AF556E">
      <w:pPr>
        <w:pStyle w:val="Style16"/>
        <w:widowControl/>
        <w:ind w:firstLine="590"/>
        <w:rPr>
          <w:rStyle w:val="FontStyle20"/>
        </w:rPr>
      </w:pPr>
      <w:r>
        <w:rPr>
          <w:rStyle w:val="FontStyle20"/>
        </w:rPr>
        <w:t>В случае несвоевременной уплаты налога взимается пеня в соответствии с Федеральным законодательством.</w:t>
      </w:r>
    </w:p>
    <w:p w:rsidR="00AF556E" w:rsidRDefault="00AF556E" w:rsidP="00AF556E">
      <w:pPr>
        <w:pStyle w:val="Style14"/>
        <w:widowControl/>
        <w:spacing w:line="274" w:lineRule="exact"/>
        <w:ind w:left="624"/>
        <w:jc w:val="left"/>
        <w:rPr>
          <w:rStyle w:val="FontStyle20"/>
        </w:rPr>
      </w:pPr>
      <w:r>
        <w:rPr>
          <w:rStyle w:val="FontStyle20"/>
        </w:rPr>
        <w:t>Ставки налога на строения, помещения и сооружения ввести с 01.01.2016 года.</w:t>
      </w:r>
    </w:p>
    <w:p w:rsidR="00AF556E" w:rsidRDefault="00AF556E" w:rsidP="00AF556E">
      <w:pPr>
        <w:pStyle w:val="Style13"/>
        <w:widowControl/>
        <w:spacing w:line="240" w:lineRule="exact"/>
        <w:rPr>
          <w:sz w:val="20"/>
          <w:szCs w:val="20"/>
        </w:rPr>
      </w:pPr>
    </w:p>
    <w:p w:rsidR="00AF556E" w:rsidRDefault="00AF556E" w:rsidP="00AF556E">
      <w:pPr>
        <w:pStyle w:val="Style13"/>
        <w:widowControl/>
        <w:spacing w:before="38" w:line="264" w:lineRule="exact"/>
        <w:rPr>
          <w:rStyle w:val="FontStyle24"/>
        </w:rPr>
      </w:pPr>
      <w:r>
        <w:rPr>
          <w:rStyle w:val="FontStyle24"/>
        </w:rPr>
        <w:t>3. Льготы</w:t>
      </w:r>
    </w:p>
    <w:p w:rsidR="00AF556E" w:rsidRDefault="00AF556E" w:rsidP="00AF556E">
      <w:pPr>
        <w:pStyle w:val="Style14"/>
        <w:widowControl/>
        <w:spacing w:line="264" w:lineRule="exact"/>
        <w:rPr>
          <w:rStyle w:val="FontStyle20"/>
        </w:rPr>
      </w:pPr>
      <w:r>
        <w:rPr>
          <w:rStyle w:val="FontStyle20"/>
        </w:rPr>
        <w:t xml:space="preserve">3.1.Для граждан, имеющих в собственности имущество, являющееся объектом налогообложения на территории муниципального образования «Село </w:t>
      </w:r>
      <w:proofErr w:type="spellStart"/>
      <w:r>
        <w:rPr>
          <w:rStyle w:val="FontStyle20"/>
        </w:rPr>
        <w:t>Болхуны</w:t>
      </w:r>
      <w:proofErr w:type="spellEnd"/>
      <w:r>
        <w:rPr>
          <w:rStyle w:val="FontStyle20"/>
        </w:rPr>
        <w:t>», льготы,</w:t>
      </w:r>
    </w:p>
    <w:p w:rsidR="00AF556E" w:rsidRDefault="00AF556E" w:rsidP="00AF556E">
      <w:pPr>
        <w:pStyle w:val="Style10"/>
        <w:widowControl/>
        <w:spacing w:before="53" w:line="269" w:lineRule="exact"/>
        <w:rPr>
          <w:rStyle w:val="FontStyle20"/>
        </w:rPr>
      </w:pPr>
      <w:r>
        <w:rPr>
          <w:rStyle w:val="FontStyle20"/>
        </w:rPr>
        <w:t>установленные в соответствии с Налоговым кодексом Российской Федерации ст. 407 Главы 32, действует в полном объеме.</w:t>
      </w:r>
    </w:p>
    <w:p w:rsidR="00AF556E" w:rsidRDefault="00AF556E" w:rsidP="00AF556E">
      <w:pPr>
        <w:pStyle w:val="Style6"/>
        <w:widowControl/>
        <w:spacing w:line="269" w:lineRule="exact"/>
        <w:rPr>
          <w:rStyle w:val="FontStyle20"/>
        </w:rPr>
      </w:pPr>
      <w:r>
        <w:rPr>
          <w:rStyle w:val="FontStyle20"/>
        </w:rPr>
        <w:t>3.2.Лица, имеющие право на льготы, самостоятельно представляют необходимые документы в налоговый орган.</w:t>
      </w:r>
    </w:p>
    <w:p w:rsidR="00AF556E" w:rsidRDefault="00AF556E" w:rsidP="00AF556E">
      <w:pPr>
        <w:pStyle w:val="Style6"/>
        <w:widowControl/>
        <w:spacing w:line="269" w:lineRule="exact"/>
        <w:ind w:firstLine="706"/>
        <w:rPr>
          <w:rStyle w:val="FontStyle20"/>
        </w:rPr>
      </w:pPr>
      <w:r>
        <w:rPr>
          <w:rStyle w:val="FontStyle20"/>
        </w:rPr>
        <w:t>Лицам, не представившим необходимые документы, налог исчисляется в полном объеме.</w:t>
      </w:r>
    </w:p>
    <w:p w:rsidR="00AF556E" w:rsidRDefault="00AF556E" w:rsidP="00AF556E">
      <w:pPr>
        <w:pStyle w:val="Style13"/>
        <w:widowControl/>
        <w:spacing w:line="240" w:lineRule="exact"/>
        <w:ind w:left="3802"/>
        <w:jc w:val="left"/>
        <w:rPr>
          <w:sz w:val="20"/>
          <w:szCs w:val="20"/>
        </w:rPr>
      </w:pPr>
    </w:p>
    <w:p w:rsidR="00AF556E" w:rsidRDefault="00AF556E" w:rsidP="00AF556E">
      <w:pPr>
        <w:pStyle w:val="Style13"/>
        <w:widowControl/>
        <w:spacing w:before="43"/>
        <w:ind w:left="3802"/>
        <w:jc w:val="left"/>
        <w:rPr>
          <w:rStyle w:val="FontStyle24"/>
        </w:rPr>
      </w:pPr>
      <w:r>
        <w:rPr>
          <w:rStyle w:val="FontStyle24"/>
        </w:rPr>
        <w:t>4.Сроки уплаты налога</w:t>
      </w:r>
    </w:p>
    <w:p w:rsidR="00AF556E" w:rsidRDefault="00AF556E" w:rsidP="00AF556E">
      <w:pPr>
        <w:pStyle w:val="Style6"/>
        <w:widowControl/>
        <w:spacing w:line="240" w:lineRule="exact"/>
        <w:ind w:firstLine="768"/>
        <w:rPr>
          <w:sz w:val="20"/>
          <w:szCs w:val="20"/>
        </w:rPr>
      </w:pPr>
    </w:p>
    <w:p w:rsidR="00AF556E" w:rsidRDefault="00AF556E" w:rsidP="00AF556E">
      <w:pPr>
        <w:pStyle w:val="Style6"/>
        <w:widowControl/>
        <w:spacing w:before="19" w:line="278" w:lineRule="exact"/>
        <w:ind w:firstLine="768"/>
        <w:rPr>
          <w:rStyle w:val="FontStyle20"/>
        </w:rPr>
      </w:pPr>
      <w:r>
        <w:rPr>
          <w:rStyle w:val="FontStyle20"/>
        </w:rPr>
        <w:t>4.1.Налог подлежит уплате налогоплательщиками в срок не позднее 1 декабря года, следующего за истекшим налоговым периодом.</w:t>
      </w:r>
    </w:p>
    <w:p w:rsidR="00AF556E" w:rsidRDefault="00AF556E" w:rsidP="00AF556E">
      <w:pPr>
        <w:pStyle w:val="Style6"/>
        <w:widowControl/>
        <w:spacing w:line="240" w:lineRule="exact"/>
        <w:ind w:left="763" w:firstLine="0"/>
        <w:rPr>
          <w:sz w:val="20"/>
          <w:szCs w:val="20"/>
        </w:rPr>
      </w:pPr>
    </w:p>
    <w:p w:rsidR="00AF556E" w:rsidRDefault="00AF556E" w:rsidP="00AF556E">
      <w:pPr>
        <w:pStyle w:val="Style6"/>
        <w:widowControl/>
        <w:spacing w:line="240" w:lineRule="exact"/>
        <w:ind w:left="763" w:firstLine="0"/>
        <w:rPr>
          <w:sz w:val="20"/>
          <w:szCs w:val="20"/>
        </w:rPr>
      </w:pPr>
    </w:p>
    <w:p w:rsidR="00912F77" w:rsidRDefault="00912F77"/>
    <w:sectPr w:rsidR="00912F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56E"/>
    <w:rsid w:val="00912F77"/>
    <w:rsid w:val="00A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5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AF556E"/>
    <w:pPr>
      <w:spacing w:line="272" w:lineRule="exact"/>
      <w:ind w:firstLine="715"/>
      <w:jc w:val="both"/>
    </w:pPr>
  </w:style>
  <w:style w:type="paragraph" w:customStyle="1" w:styleId="Style10">
    <w:name w:val="Style10"/>
    <w:basedOn w:val="a"/>
    <w:uiPriority w:val="99"/>
    <w:rsid w:val="00AF556E"/>
    <w:pPr>
      <w:spacing w:line="259" w:lineRule="exact"/>
      <w:jc w:val="both"/>
    </w:pPr>
  </w:style>
  <w:style w:type="paragraph" w:customStyle="1" w:styleId="Style13">
    <w:name w:val="Style13"/>
    <w:basedOn w:val="a"/>
    <w:uiPriority w:val="99"/>
    <w:rsid w:val="00AF556E"/>
    <w:pPr>
      <w:jc w:val="center"/>
    </w:pPr>
  </w:style>
  <w:style w:type="paragraph" w:customStyle="1" w:styleId="Style14">
    <w:name w:val="Style14"/>
    <w:basedOn w:val="a"/>
    <w:uiPriority w:val="99"/>
    <w:rsid w:val="00AF556E"/>
    <w:pPr>
      <w:jc w:val="right"/>
    </w:pPr>
  </w:style>
  <w:style w:type="paragraph" w:customStyle="1" w:styleId="Style16">
    <w:name w:val="Style16"/>
    <w:basedOn w:val="a"/>
    <w:uiPriority w:val="99"/>
    <w:rsid w:val="00AF556E"/>
    <w:pPr>
      <w:spacing w:line="274" w:lineRule="exact"/>
      <w:ind w:firstLine="595"/>
      <w:jc w:val="both"/>
    </w:pPr>
  </w:style>
  <w:style w:type="character" w:customStyle="1" w:styleId="FontStyle20">
    <w:name w:val="Font Style20"/>
    <w:basedOn w:val="a0"/>
    <w:uiPriority w:val="99"/>
    <w:rsid w:val="00AF556E"/>
    <w:rPr>
      <w:rFonts w:ascii="Times New Roman" w:hAnsi="Times New Roman" w:cs="Times New Roman"/>
      <w:sz w:val="22"/>
      <w:szCs w:val="22"/>
    </w:rPr>
  </w:style>
  <w:style w:type="character" w:customStyle="1" w:styleId="FontStyle24">
    <w:name w:val="Font Style24"/>
    <w:basedOn w:val="a0"/>
    <w:uiPriority w:val="99"/>
    <w:rsid w:val="00AF556E"/>
    <w:rPr>
      <w:rFonts w:ascii="Times New Roman" w:hAnsi="Times New Roman" w:cs="Times New Roman"/>
      <w:b/>
      <w:bCs/>
      <w:sz w:val="22"/>
      <w:szCs w:val="22"/>
    </w:rPr>
  </w:style>
  <w:style w:type="table" w:styleId="a3">
    <w:name w:val="Table Grid"/>
    <w:basedOn w:val="a1"/>
    <w:uiPriority w:val="59"/>
    <w:rsid w:val="00AF5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5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AF556E"/>
    <w:pPr>
      <w:spacing w:line="272" w:lineRule="exact"/>
      <w:ind w:firstLine="715"/>
      <w:jc w:val="both"/>
    </w:pPr>
  </w:style>
  <w:style w:type="paragraph" w:customStyle="1" w:styleId="Style10">
    <w:name w:val="Style10"/>
    <w:basedOn w:val="a"/>
    <w:uiPriority w:val="99"/>
    <w:rsid w:val="00AF556E"/>
    <w:pPr>
      <w:spacing w:line="259" w:lineRule="exact"/>
      <w:jc w:val="both"/>
    </w:pPr>
  </w:style>
  <w:style w:type="paragraph" w:customStyle="1" w:styleId="Style13">
    <w:name w:val="Style13"/>
    <w:basedOn w:val="a"/>
    <w:uiPriority w:val="99"/>
    <w:rsid w:val="00AF556E"/>
    <w:pPr>
      <w:jc w:val="center"/>
    </w:pPr>
  </w:style>
  <w:style w:type="paragraph" w:customStyle="1" w:styleId="Style14">
    <w:name w:val="Style14"/>
    <w:basedOn w:val="a"/>
    <w:uiPriority w:val="99"/>
    <w:rsid w:val="00AF556E"/>
    <w:pPr>
      <w:jc w:val="right"/>
    </w:pPr>
  </w:style>
  <w:style w:type="paragraph" w:customStyle="1" w:styleId="Style16">
    <w:name w:val="Style16"/>
    <w:basedOn w:val="a"/>
    <w:uiPriority w:val="99"/>
    <w:rsid w:val="00AF556E"/>
    <w:pPr>
      <w:spacing w:line="274" w:lineRule="exact"/>
      <w:ind w:firstLine="595"/>
      <w:jc w:val="both"/>
    </w:pPr>
  </w:style>
  <w:style w:type="character" w:customStyle="1" w:styleId="FontStyle20">
    <w:name w:val="Font Style20"/>
    <w:basedOn w:val="a0"/>
    <w:uiPriority w:val="99"/>
    <w:rsid w:val="00AF556E"/>
    <w:rPr>
      <w:rFonts w:ascii="Times New Roman" w:hAnsi="Times New Roman" w:cs="Times New Roman"/>
      <w:sz w:val="22"/>
      <w:szCs w:val="22"/>
    </w:rPr>
  </w:style>
  <w:style w:type="character" w:customStyle="1" w:styleId="FontStyle24">
    <w:name w:val="Font Style24"/>
    <w:basedOn w:val="a0"/>
    <w:uiPriority w:val="99"/>
    <w:rsid w:val="00AF556E"/>
    <w:rPr>
      <w:rFonts w:ascii="Times New Roman" w:hAnsi="Times New Roman" w:cs="Times New Roman"/>
      <w:b/>
      <w:bCs/>
      <w:sz w:val="22"/>
      <w:szCs w:val="22"/>
    </w:rPr>
  </w:style>
  <w:style w:type="table" w:styleId="a3">
    <w:name w:val="Table Grid"/>
    <w:basedOn w:val="a1"/>
    <w:uiPriority w:val="59"/>
    <w:rsid w:val="00AF5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389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1</cp:revision>
  <dcterms:created xsi:type="dcterms:W3CDTF">2017-10-05T11:54:00Z</dcterms:created>
  <dcterms:modified xsi:type="dcterms:W3CDTF">2017-10-05T12:01:00Z</dcterms:modified>
</cp:coreProperties>
</file>