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0A" w:rsidRDefault="00C73B0A" w:rsidP="00C73B0A">
      <w:pPr>
        <w:pStyle w:val="Style4"/>
        <w:widowControl/>
        <w:spacing w:before="62" w:line="293" w:lineRule="exact"/>
        <w:ind w:left="6206"/>
        <w:rPr>
          <w:rStyle w:val="FontStyle13"/>
        </w:rPr>
      </w:pPr>
      <w:r>
        <w:rPr>
          <w:rStyle w:val="FontStyle13"/>
        </w:rPr>
        <w:t>Утверждено</w:t>
      </w:r>
    </w:p>
    <w:p w:rsidR="00C73B0A" w:rsidRDefault="00C73B0A" w:rsidP="00C73B0A">
      <w:pPr>
        <w:pStyle w:val="Style4"/>
        <w:widowControl/>
        <w:spacing w:line="293" w:lineRule="exact"/>
        <w:ind w:left="6206"/>
        <w:rPr>
          <w:rStyle w:val="FontStyle13"/>
        </w:rPr>
      </w:pPr>
      <w:r>
        <w:rPr>
          <w:rStyle w:val="FontStyle13"/>
        </w:rPr>
        <w:t>решением Совета</w:t>
      </w:r>
    </w:p>
    <w:p w:rsidR="00C73B0A" w:rsidRDefault="00C73B0A" w:rsidP="00C73B0A">
      <w:pPr>
        <w:pStyle w:val="Style4"/>
        <w:widowControl/>
        <w:spacing w:line="293" w:lineRule="exact"/>
        <w:ind w:left="6211"/>
        <w:jc w:val="both"/>
        <w:rPr>
          <w:rStyle w:val="FontStyle13"/>
        </w:rPr>
      </w:pPr>
      <w:r>
        <w:rPr>
          <w:rStyle w:val="FontStyle13"/>
        </w:rPr>
        <w:t>МО «</w:t>
      </w:r>
      <w:proofErr w:type="spellStart"/>
      <w:r>
        <w:rPr>
          <w:rStyle w:val="FontStyle13"/>
        </w:rPr>
        <w:t>Сасыкольский</w:t>
      </w:r>
      <w:proofErr w:type="spellEnd"/>
      <w:r>
        <w:rPr>
          <w:rStyle w:val="FontStyle13"/>
        </w:rPr>
        <w:t xml:space="preserve"> сельсовет»</w:t>
      </w:r>
    </w:p>
    <w:p w:rsidR="00C73B0A" w:rsidRDefault="00C73B0A" w:rsidP="00C73B0A">
      <w:pPr>
        <w:pStyle w:val="Style4"/>
        <w:widowControl/>
        <w:spacing w:line="293" w:lineRule="exact"/>
        <w:ind w:left="6211"/>
        <w:rPr>
          <w:rStyle w:val="FontStyle13"/>
        </w:rPr>
      </w:pPr>
      <w:r>
        <w:rPr>
          <w:rStyle w:val="FontStyle13"/>
        </w:rPr>
        <w:t xml:space="preserve">от </w:t>
      </w:r>
      <w:r>
        <w:rPr>
          <w:rStyle w:val="FontStyle13"/>
          <w:u w:val="single"/>
        </w:rPr>
        <w:t>23.11.2015</w:t>
      </w:r>
      <w:r>
        <w:rPr>
          <w:rStyle w:val="FontStyle13"/>
        </w:rPr>
        <w:t xml:space="preserve"> г. №59</w:t>
      </w:r>
    </w:p>
    <w:p w:rsidR="00C73B0A" w:rsidRDefault="00C73B0A" w:rsidP="00C73B0A">
      <w:pPr>
        <w:pStyle w:val="Style2"/>
        <w:widowControl/>
        <w:spacing w:line="240" w:lineRule="exact"/>
        <w:rPr>
          <w:sz w:val="20"/>
          <w:szCs w:val="20"/>
        </w:rPr>
      </w:pPr>
    </w:p>
    <w:p w:rsidR="00C73B0A" w:rsidRDefault="00C73B0A" w:rsidP="00C73B0A">
      <w:pPr>
        <w:pStyle w:val="Style2"/>
        <w:widowControl/>
        <w:spacing w:before="110" w:line="302" w:lineRule="exact"/>
        <w:rPr>
          <w:rStyle w:val="FontStyle14"/>
        </w:rPr>
      </w:pPr>
      <w:r>
        <w:rPr>
          <w:rStyle w:val="FontStyle14"/>
        </w:rPr>
        <w:t>Положение</w:t>
      </w:r>
    </w:p>
    <w:p w:rsidR="00C73B0A" w:rsidRDefault="00C73B0A" w:rsidP="00C73B0A">
      <w:pPr>
        <w:pStyle w:val="Style2"/>
        <w:widowControl/>
        <w:spacing w:line="302" w:lineRule="exact"/>
        <w:ind w:left="1632" w:right="1560"/>
        <w:rPr>
          <w:rStyle w:val="FontStyle14"/>
        </w:rPr>
      </w:pPr>
      <w:r>
        <w:rPr>
          <w:rStyle w:val="FontStyle14"/>
        </w:rPr>
        <w:t>о налоге на имущество физических лиц на территории муниципального образования «</w:t>
      </w:r>
      <w:proofErr w:type="spellStart"/>
      <w:r>
        <w:rPr>
          <w:rStyle w:val="FontStyle14"/>
        </w:rPr>
        <w:t>Сасыкольский</w:t>
      </w:r>
      <w:proofErr w:type="spellEnd"/>
      <w:r>
        <w:rPr>
          <w:rStyle w:val="FontStyle14"/>
        </w:rPr>
        <w:t xml:space="preserve"> сельсовет»</w:t>
      </w:r>
    </w:p>
    <w:p w:rsidR="00C73B0A" w:rsidRDefault="00C73B0A" w:rsidP="00C73B0A">
      <w:pPr>
        <w:pStyle w:val="Style2"/>
        <w:widowControl/>
        <w:spacing w:line="240" w:lineRule="exact"/>
        <w:rPr>
          <w:sz w:val="20"/>
          <w:szCs w:val="20"/>
        </w:rPr>
      </w:pPr>
    </w:p>
    <w:p w:rsidR="00C73B0A" w:rsidRDefault="00C73B0A" w:rsidP="00C73B0A">
      <w:pPr>
        <w:pStyle w:val="Style2"/>
        <w:widowControl/>
        <w:spacing w:before="125"/>
        <w:rPr>
          <w:rStyle w:val="FontStyle14"/>
        </w:rPr>
      </w:pPr>
      <w:r>
        <w:rPr>
          <w:rStyle w:val="FontStyle14"/>
        </w:rPr>
        <w:t>1. Общие положения</w:t>
      </w:r>
    </w:p>
    <w:p w:rsidR="00C73B0A" w:rsidRDefault="00C73B0A" w:rsidP="00C73B0A">
      <w:pPr>
        <w:pStyle w:val="Style5"/>
        <w:widowControl/>
        <w:spacing w:line="240" w:lineRule="exact"/>
        <w:ind w:firstLine="725"/>
        <w:rPr>
          <w:sz w:val="20"/>
          <w:szCs w:val="20"/>
        </w:rPr>
      </w:pPr>
    </w:p>
    <w:p w:rsidR="00C73B0A" w:rsidRDefault="00C73B0A" w:rsidP="00C73B0A">
      <w:pPr>
        <w:pStyle w:val="Style5"/>
        <w:widowControl/>
        <w:tabs>
          <w:tab w:val="left" w:pos="1368"/>
        </w:tabs>
        <w:spacing w:before="53"/>
        <w:ind w:firstLine="725"/>
        <w:rPr>
          <w:rStyle w:val="FontStyle13"/>
        </w:rPr>
      </w:pPr>
      <w:r>
        <w:rPr>
          <w:rStyle w:val="FontStyle13"/>
        </w:rPr>
        <w:t>1.1.</w:t>
      </w:r>
      <w:r>
        <w:rPr>
          <w:rStyle w:val="FontStyle13"/>
        </w:rPr>
        <w:tab/>
      </w:r>
      <w:proofErr w:type="gramStart"/>
      <w:r>
        <w:rPr>
          <w:rStyle w:val="FontStyle13"/>
        </w:rPr>
        <w:t>Налог на имущество физических лиц устанавливается в соответствии с</w:t>
      </w:r>
      <w:r>
        <w:rPr>
          <w:rStyle w:val="FontStyle13"/>
        </w:rPr>
        <w:br/>
        <w:t>Налоговым кодексом Российской Федерации, Федеральным законом от 06.10.2003 №</w:t>
      </w:r>
      <w:r>
        <w:rPr>
          <w:rStyle w:val="FontStyle13"/>
        </w:rPr>
        <w:br/>
        <w:t>131-ФЗ «Об общих принципах организации местного самоуправления в Российской</w:t>
      </w:r>
      <w:r>
        <w:rPr>
          <w:rStyle w:val="FontStyle13"/>
        </w:rPr>
        <w:br/>
        <w:t>Федерации», Уставом МО «</w:t>
      </w:r>
      <w:proofErr w:type="spellStart"/>
      <w:r>
        <w:rPr>
          <w:rStyle w:val="FontStyle13"/>
        </w:rPr>
        <w:t>Сасыкольский</w:t>
      </w:r>
      <w:proofErr w:type="spellEnd"/>
      <w:r>
        <w:rPr>
          <w:rStyle w:val="FontStyle13"/>
        </w:rPr>
        <w:t xml:space="preserve"> сельсовет», является местным налогом и</w:t>
      </w:r>
      <w:r>
        <w:rPr>
          <w:rStyle w:val="FontStyle13"/>
        </w:rPr>
        <w:br/>
        <w:t>уплачивается физическим лицом, обладающим правом собственности на имущество,</w:t>
      </w:r>
      <w:r>
        <w:rPr>
          <w:rStyle w:val="FontStyle13"/>
        </w:rPr>
        <w:br/>
        <w:t>признаваемое объектом налогообложения, в соответствии с настоящим Положением.</w:t>
      </w:r>
      <w:proofErr w:type="gramEnd"/>
    </w:p>
    <w:p w:rsidR="00C73B0A" w:rsidRDefault="00C73B0A" w:rsidP="00C73B0A">
      <w:pPr>
        <w:pStyle w:val="Style5"/>
        <w:widowControl/>
        <w:tabs>
          <w:tab w:val="left" w:pos="1157"/>
        </w:tabs>
        <w:ind w:firstLine="725"/>
        <w:rPr>
          <w:rStyle w:val="FontStyle13"/>
        </w:rPr>
      </w:pPr>
      <w:r>
        <w:rPr>
          <w:rStyle w:val="FontStyle13"/>
        </w:rPr>
        <w:t>1.2.</w:t>
      </w:r>
      <w:r>
        <w:rPr>
          <w:rStyle w:val="FontStyle13"/>
        </w:rPr>
        <w:tab/>
        <w:t>Налоговая база определяется в отношении каждого объекта налогообложения</w:t>
      </w:r>
      <w:r>
        <w:rPr>
          <w:rStyle w:val="FontStyle13"/>
        </w:rPr>
        <w:br/>
        <w:t>как его инвентаризационная стоимость, исчисленная с учетом коэффициента-дефлятора</w:t>
      </w:r>
      <w:r>
        <w:rPr>
          <w:rStyle w:val="FontStyle13"/>
        </w:rPr>
        <w:br/>
        <w:t>на основании последних данных об инвентаризационной стоимости, представленных в</w:t>
      </w:r>
      <w:r>
        <w:rPr>
          <w:rStyle w:val="FontStyle13"/>
        </w:rPr>
        <w:br/>
        <w:t>установленном порядке в налоговые органы до 1 марта 2013 года.</w:t>
      </w:r>
    </w:p>
    <w:p w:rsidR="00C73B0A" w:rsidRDefault="00C73B0A" w:rsidP="00C73B0A">
      <w:pPr>
        <w:pStyle w:val="Style2"/>
        <w:widowControl/>
        <w:spacing w:line="240" w:lineRule="exact"/>
        <w:rPr>
          <w:sz w:val="20"/>
          <w:szCs w:val="20"/>
        </w:rPr>
      </w:pPr>
    </w:p>
    <w:p w:rsidR="00C73B0A" w:rsidRDefault="00C73B0A" w:rsidP="00C73B0A">
      <w:pPr>
        <w:pStyle w:val="Style2"/>
        <w:widowControl/>
        <w:spacing w:before="72"/>
        <w:rPr>
          <w:rStyle w:val="FontStyle14"/>
        </w:rPr>
      </w:pPr>
      <w:r>
        <w:rPr>
          <w:rStyle w:val="FontStyle14"/>
        </w:rPr>
        <w:t>2. Ставки налога на имущество физических лиц</w:t>
      </w:r>
    </w:p>
    <w:p w:rsidR="00C73B0A" w:rsidRDefault="00C73B0A" w:rsidP="00C73B0A">
      <w:pPr>
        <w:pStyle w:val="Style11"/>
        <w:widowControl/>
        <w:spacing w:line="240" w:lineRule="exact"/>
        <w:rPr>
          <w:sz w:val="20"/>
          <w:szCs w:val="20"/>
        </w:rPr>
      </w:pPr>
    </w:p>
    <w:p w:rsidR="00C73B0A" w:rsidRDefault="00C73B0A" w:rsidP="00C73B0A">
      <w:pPr>
        <w:pStyle w:val="Style11"/>
        <w:widowControl/>
        <w:spacing w:before="62" w:line="293" w:lineRule="exact"/>
        <w:rPr>
          <w:rStyle w:val="FontStyle13"/>
        </w:rPr>
      </w:pPr>
      <w:r>
        <w:rPr>
          <w:rStyle w:val="FontStyle13"/>
        </w:rPr>
        <w:t xml:space="preserve">2.1. Ставки налога на недвижимое имущество устанавливаются на </w:t>
      </w:r>
      <w:proofErr w:type="gramStart"/>
      <w:r>
        <w:rPr>
          <w:rStyle w:val="FontStyle13"/>
        </w:rPr>
        <w:t>основе</w:t>
      </w:r>
      <w:proofErr w:type="gramEnd"/>
      <w:r>
        <w:rPr>
          <w:rStyle w:val="FontStyle13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право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устанавливаются в следующих размерах:</w:t>
      </w:r>
    </w:p>
    <w:p w:rsidR="00C73B0A" w:rsidRDefault="00C73B0A" w:rsidP="00C73B0A">
      <w:pPr>
        <w:widowControl/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3"/>
        <w:gridCol w:w="4812"/>
        <w:gridCol w:w="2692"/>
      </w:tblGrid>
      <w:tr w:rsidR="00C73B0A" w:rsidTr="00C73B0A">
        <w:trPr>
          <w:trHeight w:val="1132"/>
        </w:trPr>
        <w:tc>
          <w:tcPr>
            <w:tcW w:w="6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Ставка налога</w:t>
            </w:r>
          </w:p>
        </w:tc>
      </w:tr>
      <w:tr w:rsidR="00C73B0A" w:rsidTr="00C73B0A">
        <w:trPr>
          <w:trHeight w:val="272"/>
        </w:trPr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До 300 000 рублей</w:t>
            </w:r>
          </w:p>
        </w:tc>
        <w:tc>
          <w:tcPr>
            <w:tcW w:w="4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включительно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0,1%</w:t>
            </w:r>
          </w:p>
        </w:tc>
      </w:tr>
      <w:tr w:rsidR="00C73B0A" w:rsidTr="00C73B0A">
        <w:trPr>
          <w:trHeight w:val="258"/>
        </w:trPr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jc w:val="right"/>
              <w:rPr>
                <w:rStyle w:val="FontStyle13"/>
              </w:rPr>
            </w:pPr>
            <w:r>
              <w:rPr>
                <w:rStyle w:val="FontStyle13"/>
              </w:rPr>
              <w:t>Свыше 300 000 до</w:t>
            </w:r>
          </w:p>
        </w:tc>
        <w:tc>
          <w:tcPr>
            <w:tcW w:w="4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500 000 рублей включительно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0,3%</w:t>
            </w:r>
          </w:p>
        </w:tc>
      </w:tr>
      <w:tr w:rsidR="00C73B0A" w:rsidTr="00C73B0A">
        <w:trPr>
          <w:trHeight w:val="258"/>
        </w:trPr>
        <w:tc>
          <w:tcPr>
            <w:tcW w:w="6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Свыше 500 000 рублей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0A" w:rsidRDefault="00C73B0A" w:rsidP="00407E66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1%</w:t>
            </w:r>
          </w:p>
        </w:tc>
      </w:tr>
      <w:tr w:rsidR="00C73B0A" w:rsidTr="00C73B0A">
        <w:trPr>
          <w:trHeight w:val="272"/>
        </w:trPr>
        <w:tc>
          <w:tcPr>
            <w:tcW w:w="2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73B0A" w:rsidRDefault="00C73B0A" w:rsidP="00407E66">
            <w:pPr>
              <w:pStyle w:val="Style9"/>
              <w:widowControl/>
            </w:pPr>
          </w:p>
        </w:tc>
        <w:tc>
          <w:tcPr>
            <w:tcW w:w="75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73B0A" w:rsidRDefault="00C73B0A" w:rsidP="00407E66">
            <w:pPr>
              <w:pStyle w:val="Style8"/>
              <w:widowControl/>
              <w:ind w:left="1560"/>
              <w:rPr>
                <w:rStyle w:val="FontStyle14"/>
              </w:rPr>
            </w:pPr>
          </w:p>
        </w:tc>
      </w:tr>
    </w:tbl>
    <w:p w:rsidR="00C73B0A" w:rsidRPr="00E851E3" w:rsidRDefault="00C73B0A" w:rsidP="00C73B0A">
      <w:pPr>
        <w:pStyle w:val="Style3"/>
        <w:widowControl/>
        <w:tabs>
          <w:tab w:val="left" w:pos="2052"/>
        </w:tabs>
        <w:spacing w:before="110" w:line="302" w:lineRule="exact"/>
        <w:ind w:right="5"/>
        <w:jc w:val="center"/>
        <w:rPr>
          <w:rStyle w:val="FontStyle13"/>
          <w:b/>
        </w:rPr>
      </w:pPr>
      <w:r w:rsidRPr="00E851E3">
        <w:rPr>
          <w:rStyle w:val="FontStyle13"/>
          <w:b/>
        </w:rPr>
        <w:t>3.</w:t>
      </w:r>
      <w:r>
        <w:rPr>
          <w:rStyle w:val="FontStyle13"/>
          <w:b/>
        </w:rPr>
        <w:t xml:space="preserve"> </w:t>
      </w:r>
      <w:r w:rsidRPr="00E851E3">
        <w:rPr>
          <w:rStyle w:val="FontStyle13"/>
          <w:b/>
        </w:rPr>
        <w:t>Налоговые льготы</w:t>
      </w:r>
    </w:p>
    <w:p w:rsidR="00C73B0A" w:rsidRDefault="00C73B0A" w:rsidP="00C73B0A">
      <w:pPr>
        <w:pStyle w:val="Style3"/>
        <w:widowControl/>
        <w:spacing w:before="110" w:line="302" w:lineRule="exact"/>
        <w:ind w:right="5"/>
        <w:jc w:val="both"/>
        <w:rPr>
          <w:rStyle w:val="FontStyle13"/>
        </w:rPr>
      </w:pPr>
      <w:r>
        <w:rPr>
          <w:rStyle w:val="FontStyle13"/>
        </w:rPr>
        <w:t>3.1. В дополнение к перечню категорий налогоплательщиков, пользующихся льготами по налогу на имущество физических лиц, определенному статьей 407 главы 32</w:t>
      </w:r>
      <w:r w:rsidRPr="00C73B0A">
        <w:rPr>
          <w:rStyle w:val="FontStyle13"/>
        </w:rPr>
        <w:t xml:space="preserve"> </w:t>
      </w:r>
      <w:r>
        <w:rPr>
          <w:rStyle w:val="FontStyle13"/>
        </w:rPr>
        <w:t>«Налог на имущество физических лиц» Налогового кодекса Российской Федерации от уплаты налога на имущество физических лиц освобождаются следующие категории граждан:</w:t>
      </w:r>
    </w:p>
    <w:p w:rsidR="00C73B0A" w:rsidRDefault="00C73B0A" w:rsidP="00C73B0A">
      <w:pPr>
        <w:pStyle w:val="Style10"/>
        <w:widowControl/>
        <w:numPr>
          <w:ilvl w:val="0"/>
          <w:numId w:val="1"/>
        </w:numPr>
        <w:tabs>
          <w:tab w:val="left" w:pos="144"/>
        </w:tabs>
        <w:spacing w:line="298" w:lineRule="exact"/>
        <w:rPr>
          <w:rStyle w:val="FontStyle13"/>
        </w:rPr>
      </w:pPr>
      <w:r>
        <w:rPr>
          <w:rStyle w:val="FontStyle13"/>
        </w:rPr>
        <w:t>студенты дневной формы обучения;</w:t>
      </w:r>
    </w:p>
    <w:p w:rsidR="00C73B0A" w:rsidRDefault="00C73B0A" w:rsidP="00C73B0A">
      <w:pPr>
        <w:pStyle w:val="Style10"/>
        <w:widowControl/>
        <w:numPr>
          <w:ilvl w:val="0"/>
          <w:numId w:val="1"/>
        </w:numPr>
        <w:tabs>
          <w:tab w:val="left" w:pos="144"/>
        </w:tabs>
        <w:spacing w:line="298" w:lineRule="exact"/>
        <w:rPr>
          <w:rStyle w:val="FontStyle13"/>
        </w:rPr>
      </w:pPr>
      <w:r>
        <w:rPr>
          <w:rStyle w:val="FontStyle13"/>
        </w:rPr>
        <w:t>граждане в возрасте до 18 лет;</w:t>
      </w:r>
    </w:p>
    <w:p w:rsidR="00C73B0A" w:rsidRDefault="00C73B0A" w:rsidP="00C73B0A">
      <w:pPr>
        <w:pStyle w:val="Style10"/>
        <w:widowControl/>
        <w:numPr>
          <w:ilvl w:val="0"/>
          <w:numId w:val="1"/>
        </w:numPr>
        <w:tabs>
          <w:tab w:val="left" w:pos="144"/>
        </w:tabs>
        <w:spacing w:line="298" w:lineRule="exact"/>
        <w:rPr>
          <w:rStyle w:val="FontStyle13"/>
        </w:rPr>
      </w:pPr>
      <w:r>
        <w:rPr>
          <w:rStyle w:val="FontStyle13"/>
        </w:rPr>
        <w:t>родители, имеющие 5 и более несовершеннолетних детей.</w:t>
      </w:r>
    </w:p>
    <w:p w:rsidR="007F01CE" w:rsidRDefault="00C73B0A" w:rsidP="00C73B0A">
      <w:pPr>
        <w:pStyle w:val="Style11"/>
        <w:widowControl/>
        <w:spacing w:line="298" w:lineRule="exact"/>
        <w:ind w:firstLine="701"/>
      </w:pPr>
      <w:r>
        <w:rPr>
          <w:rStyle w:val="FontStyle13"/>
        </w:rPr>
        <w:t>3.2.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 до 1 ноября года, являющегося налоговым периодом, начиная с которого применяется налоговая льгота.</w:t>
      </w:r>
      <w:bookmarkStart w:id="0" w:name="_GoBack"/>
      <w:bookmarkEnd w:id="0"/>
    </w:p>
    <w:sectPr w:rsidR="007F01CE" w:rsidSect="00C73B0A"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EA14B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0A"/>
    <w:rsid w:val="007F01CE"/>
    <w:rsid w:val="00C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73B0A"/>
    <w:pPr>
      <w:jc w:val="center"/>
    </w:pPr>
  </w:style>
  <w:style w:type="paragraph" w:customStyle="1" w:styleId="Style3">
    <w:name w:val="Style3"/>
    <w:basedOn w:val="a"/>
    <w:uiPriority w:val="99"/>
    <w:rsid w:val="00C73B0A"/>
    <w:pPr>
      <w:jc w:val="right"/>
    </w:pPr>
  </w:style>
  <w:style w:type="paragraph" w:customStyle="1" w:styleId="Style4">
    <w:name w:val="Style4"/>
    <w:basedOn w:val="a"/>
    <w:uiPriority w:val="99"/>
    <w:rsid w:val="00C73B0A"/>
    <w:pPr>
      <w:spacing w:line="298" w:lineRule="exact"/>
    </w:pPr>
  </w:style>
  <w:style w:type="paragraph" w:customStyle="1" w:styleId="Style5">
    <w:name w:val="Style5"/>
    <w:basedOn w:val="a"/>
    <w:uiPriority w:val="99"/>
    <w:rsid w:val="00C73B0A"/>
    <w:pPr>
      <w:spacing w:line="298" w:lineRule="exact"/>
      <w:ind w:firstLine="720"/>
      <w:jc w:val="both"/>
    </w:pPr>
  </w:style>
  <w:style w:type="paragraph" w:customStyle="1" w:styleId="Style7">
    <w:name w:val="Style7"/>
    <w:basedOn w:val="a"/>
    <w:uiPriority w:val="99"/>
    <w:rsid w:val="00C73B0A"/>
    <w:pPr>
      <w:spacing w:line="298" w:lineRule="exact"/>
      <w:jc w:val="center"/>
    </w:pPr>
  </w:style>
  <w:style w:type="paragraph" w:customStyle="1" w:styleId="Style8">
    <w:name w:val="Style8"/>
    <w:basedOn w:val="a"/>
    <w:uiPriority w:val="99"/>
    <w:rsid w:val="00C73B0A"/>
  </w:style>
  <w:style w:type="paragraph" w:customStyle="1" w:styleId="Style9">
    <w:name w:val="Style9"/>
    <w:basedOn w:val="a"/>
    <w:uiPriority w:val="99"/>
    <w:rsid w:val="00C73B0A"/>
  </w:style>
  <w:style w:type="paragraph" w:customStyle="1" w:styleId="Style10">
    <w:name w:val="Style10"/>
    <w:basedOn w:val="a"/>
    <w:uiPriority w:val="99"/>
    <w:rsid w:val="00C73B0A"/>
  </w:style>
  <w:style w:type="paragraph" w:customStyle="1" w:styleId="Style11">
    <w:name w:val="Style11"/>
    <w:basedOn w:val="a"/>
    <w:uiPriority w:val="99"/>
    <w:rsid w:val="00C73B0A"/>
    <w:pPr>
      <w:spacing w:line="296" w:lineRule="exact"/>
      <w:ind w:firstLine="706"/>
      <w:jc w:val="both"/>
    </w:pPr>
  </w:style>
  <w:style w:type="character" w:customStyle="1" w:styleId="FontStyle13">
    <w:name w:val="Font Style13"/>
    <w:basedOn w:val="a0"/>
    <w:uiPriority w:val="99"/>
    <w:rsid w:val="00C73B0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73B0A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73B0A"/>
    <w:pPr>
      <w:jc w:val="center"/>
    </w:pPr>
  </w:style>
  <w:style w:type="paragraph" w:customStyle="1" w:styleId="Style3">
    <w:name w:val="Style3"/>
    <w:basedOn w:val="a"/>
    <w:uiPriority w:val="99"/>
    <w:rsid w:val="00C73B0A"/>
    <w:pPr>
      <w:jc w:val="right"/>
    </w:pPr>
  </w:style>
  <w:style w:type="paragraph" w:customStyle="1" w:styleId="Style4">
    <w:name w:val="Style4"/>
    <w:basedOn w:val="a"/>
    <w:uiPriority w:val="99"/>
    <w:rsid w:val="00C73B0A"/>
    <w:pPr>
      <w:spacing w:line="298" w:lineRule="exact"/>
    </w:pPr>
  </w:style>
  <w:style w:type="paragraph" w:customStyle="1" w:styleId="Style5">
    <w:name w:val="Style5"/>
    <w:basedOn w:val="a"/>
    <w:uiPriority w:val="99"/>
    <w:rsid w:val="00C73B0A"/>
    <w:pPr>
      <w:spacing w:line="298" w:lineRule="exact"/>
      <w:ind w:firstLine="720"/>
      <w:jc w:val="both"/>
    </w:pPr>
  </w:style>
  <w:style w:type="paragraph" w:customStyle="1" w:styleId="Style7">
    <w:name w:val="Style7"/>
    <w:basedOn w:val="a"/>
    <w:uiPriority w:val="99"/>
    <w:rsid w:val="00C73B0A"/>
    <w:pPr>
      <w:spacing w:line="298" w:lineRule="exact"/>
      <w:jc w:val="center"/>
    </w:pPr>
  </w:style>
  <w:style w:type="paragraph" w:customStyle="1" w:styleId="Style8">
    <w:name w:val="Style8"/>
    <w:basedOn w:val="a"/>
    <w:uiPriority w:val="99"/>
    <w:rsid w:val="00C73B0A"/>
  </w:style>
  <w:style w:type="paragraph" w:customStyle="1" w:styleId="Style9">
    <w:name w:val="Style9"/>
    <w:basedOn w:val="a"/>
    <w:uiPriority w:val="99"/>
    <w:rsid w:val="00C73B0A"/>
  </w:style>
  <w:style w:type="paragraph" w:customStyle="1" w:styleId="Style10">
    <w:name w:val="Style10"/>
    <w:basedOn w:val="a"/>
    <w:uiPriority w:val="99"/>
    <w:rsid w:val="00C73B0A"/>
  </w:style>
  <w:style w:type="paragraph" w:customStyle="1" w:styleId="Style11">
    <w:name w:val="Style11"/>
    <w:basedOn w:val="a"/>
    <w:uiPriority w:val="99"/>
    <w:rsid w:val="00C73B0A"/>
    <w:pPr>
      <w:spacing w:line="296" w:lineRule="exact"/>
      <w:ind w:firstLine="706"/>
      <w:jc w:val="both"/>
    </w:pPr>
  </w:style>
  <w:style w:type="character" w:customStyle="1" w:styleId="FontStyle13">
    <w:name w:val="Font Style13"/>
    <w:basedOn w:val="a0"/>
    <w:uiPriority w:val="99"/>
    <w:rsid w:val="00C73B0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73B0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2016-02-26T08:13:00Z</dcterms:created>
  <dcterms:modified xsi:type="dcterms:W3CDTF">2016-02-26T08:14:00Z</dcterms:modified>
</cp:coreProperties>
</file>