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67" w:rsidRDefault="00327067" w:rsidP="00327067">
      <w:pPr>
        <w:spacing w:after="0" w:line="240" w:lineRule="auto"/>
        <w:ind w:left="6237"/>
        <w:rPr>
          <w:rStyle w:val="a3"/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color w:val="000000"/>
          <w:sz w:val="28"/>
          <w:szCs w:val="28"/>
        </w:rPr>
        <w:t>Утверждено</w:t>
      </w:r>
    </w:p>
    <w:p w:rsidR="00327067" w:rsidRDefault="00327067" w:rsidP="00327067">
      <w:pPr>
        <w:spacing w:after="0" w:line="240" w:lineRule="auto"/>
        <w:ind w:left="6237"/>
        <w:rPr>
          <w:rStyle w:val="a3"/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color w:val="000000"/>
          <w:sz w:val="28"/>
          <w:szCs w:val="28"/>
        </w:rPr>
        <w:t>решением Совета</w:t>
      </w:r>
    </w:p>
    <w:p w:rsidR="00327067" w:rsidRDefault="00327067" w:rsidP="00327067">
      <w:pPr>
        <w:spacing w:after="0" w:line="240" w:lineRule="auto"/>
        <w:ind w:left="6237"/>
        <w:rPr>
          <w:rStyle w:val="a3"/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color w:val="000000"/>
          <w:sz w:val="28"/>
          <w:szCs w:val="28"/>
        </w:rPr>
        <w:t>МО «</w:t>
      </w:r>
      <w:proofErr w:type="spellStart"/>
      <w:r>
        <w:rPr>
          <w:rStyle w:val="a3"/>
          <w:rFonts w:ascii="Times New Roman" w:hAnsi="Times New Roman"/>
          <w:color w:val="000000"/>
          <w:sz w:val="28"/>
          <w:szCs w:val="28"/>
        </w:rPr>
        <w:t>Батаевский</w:t>
      </w:r>
      <w:proofErr w:type="spellEnd"/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сельсовет»</w:t>
      </w:r>
    </w:p>
    <w:p w:rsidR="00327067" w:rsidRDefault="00327067" w:rsidP="00327067">
      <w:pPr>
        <w:spacing w:after="0" w:line="240" w:lineRule="auto"/>
        <w:ind w:left="6237"/>
        <w:rPr>
          <w:rStyle w:val="a3"/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color w:val="000000"/>
          <w:sz w:val="28"/>
          <w:szCs w:val="28"/>
        </w:rPr>
        <w:t>от 21.11. 201</w:t>
      </w:r>
      <w:r>
        <w:rPr>
          <w:rStyle w:val="a3"/>
          <w:rFonts w:ascii="Times New Roman" w:hAnsi="Times New Roman"/>
          <w:color w:val="000000"/>
          <w:sz w:val="28"/>
          <w:szCs w:val="28"/>
          <w:lang w:val="en-US"/>
        </w:rPr>
        <w:t>6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г.№ 64</w:t>
      </w:r>
    </w:p>
    <w:p w:rsidR="00327067" w:rsidRDefault="00327067" w:rsidP="00327067">
      <w:pPr>
        <w:ind w:left="6237"/>
      </w:pPr>
    </w:p>
    <w:p w:rsidR="00327067" w:rsidRDefault="00327067" w:rsidP="00327067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327067" w:rsidRDefault="00327067" w:rsidP="00327067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МО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Батаевский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сельсовет»</w:t>
      </w:r>
    </w:p>
    <w:p w:rsidR="00327067" w:rsidRDefault="00327067" w:rsidP="00327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067" w:rsidRDefault="00327067" w:rsidP="00327067">
      <w:pPr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r w:rsidRPr="00327067">
        <w:rPr>
          <w:rFonts w:ascii="Times New Roman" w:hAnsi="Times New Roman"/>
        </w:rPr>
        <w:t>Налоговым кодексом</w:t>
      </w:r>
      <w:r>
        <w:rPr>
          <w:rFonts w:ascii="Times New Roman" w:hAnsi="Times New Roman"/>
          <w:sz w:val="28"/>
          <w:szCs w:val="28"/>
        </w:rPr>
        <w:t xml:space="preserve"> Российской Федерации, Уставом МО «</w:t>
      </w:r>
      <w:proofErr w:type="spellStart"/>
      <w:r>
        <w:rPr>
          <w:rFonts w:ascii="Times New Roman" w:hAnsi="Times New Roman"/>
          <w:sz w:val="28"/>
          <w:szCs w:val="28"/>
        </w:rPr>
        <w:t>Батаевский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сельсовет», является 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27067" w:rsidRDefault="00327067" w:rsidP="0032706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327067" w:rsidRDefault="00327067" w:rsidP="0032706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sub_1012"/>
      <w:r>
        <w:rPr>
          <w:rFonts w:ascii="Times New Roman" w:hAnsi="Times New Roman" w:cs="Times New Roman"/>
          <w:sz w:val="28"/>
          <w:szCs w:val="28"/>
        </w:rPr>
        <w:t>2. Налоговые ставки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51"/>
      </w:tblGrid>
      <w:tr w:rsidR="00327067" w:rsidTr="0044456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327067" w:rsidTr="0044456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жилые дома;</w:t>
            </w:r>
          </w:p>
          <w:p w:rsidR="00327067" w:rsidRDefault="00327067" w:rsidP="004445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327067" w:rsidRDefault="00327067" w:rsidP="004445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327067" w:rsidRDefault="00327067" w:rsidP="00444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единый недвижимый комплекс, в состав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входит хотя бы одно жилое помещение;</w:t>
            </w:r>
          </w:p>
          <w:p w:rsidR="00327067" w:rsidRDefault="00327067" w:rsidP="00444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гараж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-место;</w:t>
            </w:r>
          </w:p>
          <w:p w:rsidR="00327067" w:rsidRDefault="00327067" w:rsidP="004445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0,03%</w:t>
            </w:r>
          </w:p>
        </w:tc>
      </w:tr>
      <w:tr w:rsidR="00327067" w:rsidTr="0044456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>
              <w:rPr>
                <w:rFonts w:ascii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2%</w:t>
            </w:r>
          </w:p>
        </w:tc>
      </w:tr>
      <w:tr w:rsidR="00327067" w:rsidTr="0044456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0,5%</w:t>
            </w:r>
          </w:p>
        </w:tc>
      </w:tr>
      <w:tr w:rsidR="00327067" w:rsidTr="0044456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327067" w:rsidRDefault="00327067" w:rsidP="0044456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2%</w:t>
            </w:r>
          </w:p>
        </w:tc>
      </w:tr>
    </w:tbl>
    <w:p w:rsidR="00327067" w:rsidRDefault="00327067" w:rsidP="00327067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327067" w:rsidRDefault="00327067" w:rsidP="00327067">
      <w:pPr>
        <w:jc w:val="both"/>
        <w:rPr>
          <w:rFonts w:ascii="Times New Roman" w:hAnsi="Times New Roman"/>
          <w:i/>
          <w:sz w:val="24"/>
          <w:szCs w:val="24"/>
        </w:rPr>
      </w:pPr>
    </w:p>
    <w:p w:rsidR="00327067" w:rsidRDefault="00327067" w:rsidP="00327067">
      <w:pPr>
        <w:jc w:val="both"/>
        <w:rPr>
          <w:rFonts w:ascii="Times New Roman" w:hAnsi="Times New Roman"/>
          <w:i/>
          <w:sz w:val="24"/>
          <w:szCs w:val="24"/>
        </w:rPr>
      </w:pPr>
    </w:p>
    <w:p w:rsidR="00327067" w:rsidRDefault="00327067" w:rsidP="00327067">
      <w:pPr>
        <w:pStyle w:val="1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Налоговые вычеты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327067" w:rsidRDefault="00327067" w:rsidP="00327067">
      <w:pPr>
        <w:rPr>
          <w:rFonts w:ascii="Times New Roman" w:hAnsi="Times New Roman"/>
          <w:sz w:val="28"/>
          <w:szCs w:val="28"/>
        </w:rPr>
      </w:pPr>
    </w:p>
    <w:p w:rsidR="00327067" w:rsidRDefault="00327067" w:rsidP="00327067">
      <w:pPr>
        <w:pStyle w:val="1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Льготы по налог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Устанавливаются налоговые льготы, предусмотренные Главой 32 Налогового Кодекса Российской Федерации «Налог на имущество физических лиц».</w:t>
      </w:r>
    </w:p>
    <w:p w:rsidR="00327067" w:rsidRDefault="00327067" w:rsidP="00327067"/>
    <w:p w:rsidR="00327067" w:rsidRDefault="00327067" w:rsidP="00327067"/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Общее примечание: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Налоговые ставки в отношении каждой категории объектов могут дифференцироваться в зависимости от вида объекта налогообложения и кадастровой стоимости объекта.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1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Налоговые ставки в отношении данной категории объектов могут быть приняты в диапазоне от 0 до 0,3 % от кадастровой стоимости. Необходимо установить конкретную ставку.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</w:t>
      </w:r>
      <w:proofErr w:type="gramStart"/>
      <w:r>
        <w:rPr>
          <w:rFonts w:ascii="Times New Roman" w:hAnsi="Times New Roman"/>
          <w:i/>
          <w:sz w:val="28"/>
          <w:szCs w:val="28"/>
        </w:rPr>
        <w:t>1</w:t>
      </w:r>
      <w:proofErr w:type="gramEnd"/>
      <w:r>
        <w:rPr>
          <w:rFonts w:ascii="Times New Roman" w:hAnsi="Times New Roman"/>
          <w:i/>
          <w:sz w:val="28"/>
          <w:szCs w:val="28"/>
        </w:rPr>
        <w:t>: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Установить  налоговые ставки в отношении:</w:t>
      </w:r>
    </w:p>
    <w:p w:rsidR="00327067" w:rsidRDefault="00327067" w:rsidP="003270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жилых помещений (квартир, комнат) в следующих размерах:</w:t>
      </w:r>
    </w:p>
    <w:tbl>
      <w:tblPr>
        <w:tblW w:w="0" w:type="auto"/>
        <w:tblInd w:w="542" w:type="dxa"/>
        <w:tblLayout w:type="fixed"/>
        <w:tblLook w:val="0000" w:firstRow="0" w:lastRow="0" w:firstColumn="0" w:lastColumn="0" w:noHBand="0" w:noVBand="0"/>
      </w:tblPr>
      <w:tblGrid>
        <w:gridCol w:w="4697"/>
        <w:gridCol w:w="4640"/>
      </w:tblGrid>
      <w:tr w:rsidR="00327067" w:rsidTr="00444562"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Ставка налога, %</w:t>
            </w:r>
          </w:p>
        </w:tc>
      </w:tr>
      <w:tr w:rsidR="00327067" w:rsidTr="00444562"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до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включительно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свыше *** до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включительно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свыше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до 300 млн рублей включительно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</w:tbl>
    <w:p w:rsidR="00327067" w:rsidRDefault="00327067" w:rsidP="00327067">
      <w:pPr>
        <w:spacing w:after="0" w:line="240" w:lineRule="auto"/>
        <w:ind w:left="567"/>
        <w:jc w:val="both"/>
      </w:pP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</w:t>
      </w:r>
      <w:proofErr w:type="gramStart"/>
      <w:r>
        <w:rPr>
          <w:rFonts w:ascii="Times New Roman" w:hAnsi="Times New Roman"/>
          <w:i/>
          <w:sz w:val="28"/>
          <w:szCs w:val="28"/>
        </w:rPr>
        <w:t>2</w:t>
      </w:r>
      <w:proofErr w:type="gramEnd"/>
      <w:r>
        <w:rPr>
          <w:rFonts w:ascii="Times New Roman" w:hAnsi="Times New Roman"/>
          <w:i/>
          <w:sz w:val="28"/>
          <w:szCs w:val="28"/>
        </w:rPr>
        <w:t>: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Установить налоговые ставки в следующих размерах:</w:t>
      </w:r>
    </w:p>
    <w:tbl>
      <w:tblPr>
        <w:tblW w:w="0" w:type="auto"/>
        <w:tblInd w:w="542" w:type="dxa"/>
        <w:tblLayout w:type="fixed"/>
        <w:tblLook w:val="0000" w:firstRow="0" w:lastRow="0" w:firstColumn="0" w:lastColumn="0" w:noHBand="0" w:noVBand="0"/>
      </w:tblPr>
      <w:tblGrid>
        <w:gridCol w:w="2943"/>
        <w:gridCol w:w="4536"/>
        <w:gridCol w:w="1858"/>
      </w:tblGrid>
      <w:tr w:rsidR="00327067" w:rsidTr="0044456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Объект налогообложения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Ставка налога, %</w:t>
            </w:r>
          </w:p>
        </w:tc>
      </w:tr>
      <w:tr w:rsidR="00327067" w:rsidTr="00444562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до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включительно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свыше *** до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включительно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свыше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до 300 млн рублей включительно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до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включительно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свыше *** до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включительно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свыше ***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до 300 млн рублей включительно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-место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до 300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рублей включительно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 так далее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  <w:tr w:rsidR="00327067" w:rsidTr="0044456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67" w:rsidRDefault="00327067" w:rsidP="004445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***</w:t>
            </w:r>
          </w:p>
        </w:tc>
      </w:tr>
    </w:tbl>
    <w:p w:rsidR="00327067" w:rsidRDefault="00327067" w:rsidP="00327067">
      <w:pPr>
        <w:spacing w:after="0" w:line="240" w:lineRule="auto"/>
        <w:ind w:firstLine="567"/>
        <w:jc w:val="both"/>
      </w:pP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2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Налоговые ставки в отношении данной категории объектов не могут превышать 2 процентов от кадастровой стоимости.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3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Налоговые ставки в отношении данной категории объектов не могут превышать 0,5 процентов от кадастровой стоимости.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4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Налоговые ставки в отношении данной категории объектов не могут превышать 2 процентов от кадастровой стоимости. </w:t>
      </w:r>
      <w:proofErr w:type="gramStart"/>
      <w:r>
        <w:rPr>
          <w:rFonts w:ascii="Times New Roman" w:hAnsi="Times New Roman"/>
          <w:i/>
          <w:sz w:val="28"/>
          <w:szCs w:val="28"/>
        </w:rPr>
        <w:t>В целях пресечения возможности минимизации налогообложения при переоформлении права собственности в отношении указанной категории объектов с юридических лиц на физическое лицо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рекомендуется определить ставку на уровне 2 процентов. Указанный перечень объектов налогообложения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обслуживания), на территории Астраханской области будет определен с 2018 года.</w:t>
      </w:r>
    </w:p>
    <w:p w:rsidR="00327067" w:rsidRDefault="00327067" w:rsidP="0032706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327067" w:rsidRDefault="00327067" w:rsidP="0032706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5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Статьей 403 НК РФ определено, что: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Представительные органы муниципальных образований вправе увеличивать указанные размеры налоговых вычетов.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6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Могут устанавливаться налоговые льготы, не предусмотренные Главой 32 Налогового Кодекса Российской Федерации «Налог на имущество физических лиц».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Рекомендуется не дублировать перечень налоговых льгот, установленных статьей 407 НК РФ.</w:t>
      </w:r>
    </w:p>
    <w:p w:rsidR="00327067" w:rsidRDefault="00327067" w:rsidP="0032706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установления дополнительных налоговых льгот необходимо определить основания и порядок их применения налогоплательщиками, аналогично пунктам 2-7 статьи 407 НК РФ.</w:t>
      </w:r>
      <w:bookmarkEnd w:id="1"/>
    </w:p>
    <w:p w:rsidR="002E3C13" w:rsidRDefault="002E3C13"/>
    <w:sectPr w:rsidR="002E3C13">
      <w:footnotePr>
        <w:pos w:val="beneathText"/>
      </w:footnotePr>
      <w:pgSz w:w="11905" w:h="16837"/>
      <w:pgMar w:top="709" w:right="850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7"/>
    <w:rsid w:val="002E3C13"/>
    <w:rsid w:val="0032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67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327067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067"/>
    <w:rPr>
      <w:rFonts w:ascii="Arial" w:eastAsia="Times New Roman" w:hAnsi="Arial" w:cs="Arial"/>
      <w:b/>
      <w:bCs/>
      <w:color w:val="26282F"/>
      <w:sz w:val="24"/>
      <w:szCs w:val="24"/>
      <w:lang w:val="x-none" w:eastAsia="ar-SA"/>
    </w:rPr>
  </w:style>
  <w:style w:type="character" w:customStyle="1" w:styleId="a3">
    <w:name w:val="Цветовое выделение"/>
    <w:rsid w:val="00327067"/>
    <w:rPr>
      <w:b/>
      <w:bCs/>
      <w:color w:val="26282F"/>
    </w:rPr>
  </w:style>
  <w:style w:type="character" w:styleId="a4">
    <w:name w:val="Hyperlink"/>
    <w:semiHidden/>
    <w:rsid w:val="00327067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327067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67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327067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067"/>
    <w:rPr>
      <w:rFonts w:ascii="Arial" w:eastAsia="Times New Roman" w:hAnsi="Arial" w:cs="Arial"/>
      <w:b/>
      <w:bCs/>
      <w:color w:val="26282F"/>
      <w:sz w:val="24"/>
      <w:szCs w:val="24"/>
      <w:lang w:val="x-none" w:eastAsia="ar-SA"/>
    </w:rPr>
  </w:style>
  <w:style w:type="character" w:customStyle="1" w:styleId="a3">
    <w:name w:val="Цветовое выделение"/>
    <w:rsid w:val="00327067"/>
    <w:rPr>
      <w:b/>
      <w:bCs/>
      <w:color w:val="26282F"/>
    </w:rPr>
  </w:style>
  <w:style w:type="character" w:styleId="a4">
    <w:name w:val="Hyperlink"/>
    <w:semiHidden/>
    <w:rsid w:val="00327067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327067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2017-02-02T16:10:00Z</dcterms:created>
  <dcterms:modified xsi:type="dcterms:W3CDTF">2017-02-02T16:13:00Z</dcterms:modified>
</cp:coreProperties>
</file>