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BF76D4">
        <w:rPr>
          <w:rFonts w:ascii="Calibri" w:hAnsi="Calibri" w:cs="Calibri"/>
          <w:color w:val="000000" w:themeColor="text1"/>
          <w:szCs w:val="20"/>
        </w:rPr>
        <w:t xml:space="preserve">                                                                       </w:t>
      </w:r>
      <w:bookmarkStart w:id="0" w:name="_GoBack"/>
      <w:bookmarkEnd w:id="0"/>
      <w:r w:rsidRPr="00BF76D4">
        <w:rPr>
          <w:rFonts w:ascii="Calibri" w:hAnsi="Calibri" w:cs="Calibri"/>
          <w:color w:val="000000" w:themeColor="text1"/>
          <w:szCs w:val="20"/>
        </w:rPr>
        <w:t xml:space="preserve">      </w:t>
      </w:r>
      <w:r w:rsidRPr="00772FF7">
        <w:rPr>
          <w:rFonts w:ascii="Times New Roman" w:hAnsi="Times New Roman"/>
          <w:color w:val="000000" w:themeColor="text1"/>
          <w:sz w:val="26"/>
          <w:szCs w:val="26"/>
        </w:rPr>
        <w:t>Утверждено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Решением Совета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«Поселок Кировский»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от 15 января 2016 г. №</w:t>
      </w: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1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P37"/>
      <w:bookmarkEnd w:id="1"/>
      <w:r w:rsidRPr="00772FF7">
        <w:rPr>
          <w:rFonts w:ascii="Times New Roman" w:hAnsi="Times New Roman"/>
          <w:b/>
          <w:color w:val="000000" w:themeColor="text1"/>
          <w:sz w:val="26"/>
          <w:szCs w:val="26"/>
        </w:rPr>
        <w:t>ПОЛОЖЕНИЕ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b/>
          <w:color w:val="000000" w:themeColor="text1"/>
          <w:sz w:val="26"/>
          <w:szCs w:val="26"/>
        </w:rPr>
        <w:t>ОБ УСТАНОВЛЕНИИ НАЛОГА НА ИМУЩЕСТВО ФИЗИЧЕСКИХ ЛИЦ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b/>
          <w:color w:val="000000" w:themeColor="text1"/>
          <w:sz w:val="26"/>
          <w:szCs w:val="26"/>
        </w:rPr>
        <w:t>НА ТЕРРИТОРИИ МУНИЦИПАЛЬНОГО ОБРАЗОВАНИЯ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«ПОСЕЛОК КИРОВСКИЙ»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1. Общие положения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1.1. В соответствии с Налоговым </w:t>
      </w:r>
      <w:hyperlink r:id="rId5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кодексом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Российской Федерации,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1.2. Иные элементы налогообложения по налогу на имущество физических лиц определяются Налоговым </w:t>
      </w:r>
      <w:hyperlink r:id="rId6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кодексом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Российской Федерации.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2. Налоговая база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В отношении объектов налогообложения, включенных в перечень, определенный в соответствии с </w:t>
      </w:r>
      <w:hyperlink r:id="rId7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пунктом 7 статьи 378.2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абзацем вторым пункта 10 статьи 378.2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3. Налоговые ставки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Установить следующие налоговые ставки по налогу: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6"/>
        <w:gridCol w:w="2764"/>
      </w:tblGrid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Ставка налога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До 300000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0.1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300000 рублей до 500000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0.2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500000 рублей до 700000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0.4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700000 рублей до 1000000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0.5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1000000 рублей до 1500000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0.6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1500000 рублей до 2000000 рублей (включительно)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1.0 процента</w:t>
            </w:r>
          </w:p>
        </w:tc>
      </w:tr>
      <w:tr w:rsidR="00A34CC2" w:rsidRPr="00772FF7" w:rsidTr="00EB1D8B">
        <w:tc>
          <w:tcPr>
            <w:tcW w:w="7016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Свыше 2000000 рублей</w:t>
            </w:r>
          </w:p>
        </w:tc>
        <w:tc>
          <w:tcPr>
            <w:tcW w:w="2764" w:type="dxa"/>
          </w:tcPr>
          <w:p w:rsidR="00A34CC2" w:rsidRPr="00772FF7" w:rsidRDefault="00A34CC2" w:rsidP="00EB1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772FF7">
              <w:rPr>
                <w:rFonts w:ascii="Times New Roman" w:hAnsi="Times New Roman"/>
                <w:color w:val="000000" w:themeColor="text1"/>
                <w:szCs w:val="20"/>
              </w:rPr>
              <w:t>2.0 процента</w:t>
            </w:r>
          </w:p>
        </w:tc>
      </w:tr>
    </w:tbl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lastRenderedPageBreak/>
        <w:t>4. Налоговые льготы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4.1. Льготы по уплате налога на имущество физических лиц предоставляются категориям граждан, указанных в </w:t>
      </w:r>
      <w:hyperlink r:id="rId9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п. 3 статьи 407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4.2.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772FF7">
        <w:rPr>
          <w:rFonts w:ascii="Times New Roman" w:hAnsi="Times New Roman"/>
          <w:color w:val="000000" w:themeColor="text1"/>
          <w:sz w:val="26"/>
          <w:szCs w:val="26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налоговых льгот.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4.4. Налоговая льгота не предоставляется в отношении объектов налогообложения, указанных в </w:t>
      </w:r>
      <w:hyperlink r:id="rId10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подпункте 2 пункта 2 статьи 406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4.5.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4.6.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</w:t>
      </w:r>
      <w:hyperlink r:id="rId11" w:history="1">
        <w:r w:rsidRPr="00772FF7">
          <w:rPr>
            <w:rFonts w:ascii="Times New Roman" w:hAnsi="Times New Roman"/>
            <w:color w:val="000000" w:themeColor="text1"/>
            <w:sz w:val="26"/>
            <w:szCs w:val="26"/>
          </w:rPr>
          <w:t>главы 32</w:t>
        </w:r>
      </w:hyperlink>
      <w:r w:rsidRPr="00772FF7">
        <w:rPr>
          <w:rFonts w:ascii="Times New Roman" w:hAnsi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5. Срок уплаты налога</w:t>
      </w: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A34CC2" w:rsidRPr="00772FF7" w:rsidRDefault="00A34CC2" w:rsidP="00A34C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72FF7">
        <w:rPr>
          <w:rFonts w:ascii="Times New Roman" w:hAnsi="Times New Roman"/>
          <w:color w:val="000000" w:themeColor="text1"/>
          <w:sz w:val="26"/>
          <w:szCs w:val="26"/>
        </w:rPr>
        <w:t>5.1. Срок уплаты налога на имущество физическими лицами определяется не позднее 1 декабря года, следующего за истекшим налоговым периодом.</w:t>
      </w:r>
    </w:p>
    <w:p w:rsidR="00A34CC2" w:rsidRPr="00772FF7" w:rsidRDefault="00A34CC2" w:rsidP="00A34CC2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583CBF" w:rsidRDefault="00583CBF"/>
    <w:sectPr w:rsidR="00583CBF" w:rsidSect="00772FF7">
      <w:headerReference w:type="default" r:id="rId12"/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D5" w:rsidRPr="00772FF7" w:rsidRDefault="00A34CC2" w:rsidP="00772FF7">
    <w:pPr>
      <w:pStyle w:val="a3"/>
    </w:pPr>
    <w:r w:rsidRPr="00772FF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C2"/>
    <w:rsid w:val="00583CBF"/>
    <w:rsid w:val="00A3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C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CC2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C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4CC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AF6D69F47E6ABFFAB3667C1F1DCB220365F9381620720B8AC78CAD8036C24A6123EDF0EDED9oDO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1AF6D69F47E6ABFFAB3667C1F1DCB220365F9381620720B8AC78CAD8036C24A6123ED70DDBoDO6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AF6D69F47E6ABFFAB3667C1F1DCB220365F9381620720B8AC78CAD8036C24A6123EDF0FD9DEoDO2H" TargetMode="External"/><Relationship Id="rId11" Type="http://schemas.openxmlformats.org/officeDocument/2006/relationships/hyperlink" Target="consultantplus://offline/ref=F91AF6D69F47E6ABFFAB3667C1F1DCB220365F9381620720B8AC78CAD8036C24A6123EDF0FDEDEoDO7H" TargetMode="External"/><Relationship Id="rId5" Type="http://schemas.openxmlformats.org/officeDocument/2006/relationships/hyperlink" Target="consultantplus://offline/ref=F91AF6D69F47E6ABFFAB3667C1F1DCB220365F9381620720B8AC78CAD8036C24A6123EDF0FD9DEoDO2H" TargetMode="External"/><Relationship Id="rId10" Type="http://schemas.openxmlformats.org/officeDocument/2006/relationships/hyperlink" Target="consultantplus://offline/ref=F91AF6D69F47E6ABFFAB3667C1F1DCB220365F9381620720B8AC78CAD8036C24A6123EDF0FD9D9oDO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1AF6D69F47E6ABFFAB3667C1F1DCB220365F9381620720B8AC78CAD8036C24A6123EDF0FDEDFoDO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2016-06-07T09:34:00Z</dcterms:created>
  <dcterms:modified xsi:type="dcterms:W3CDTF">2016-06-07T09:35:00Z</dcterms:modified>
</cp:coreProperties>
</file>