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Совета</w:t>
      </w:r>
    </w:p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 " Рынковский сельсовет "от 28.11.2016 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13/2</w:t>
      </w: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</w:t>
        <w:br/>
        <w:t xml:space="preserve">о налоге на имущество физических лиц</w:t>
      </w: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территории МО "Рынковский сельсовет 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Общие положения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 на имущество физических лиц устанавливается в соответствии с Налоговым кодексом Российской Федерации, Уставом 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Рынковский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>
      <w:pPr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>
      <w:pPr>
        <w:keepNext w:val="true"/>
        <w:spacing w:before="240" w:after="6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 ставки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 налога на недвижимое имущество устанавливаются в следующих размерах:</w:t>
      </w:r>
    </w:p>
    <w:tbl>
      <w:tblPr>
        <w:tblInd w:w="108" w:type="dxa"/>
      </w:tblPr>
      <w:tblGrid>
        <w:gridCol w:w="7658"/>
        <w:gridCol w:w="1702"/>
      </w:tblGrid>
      <w:tr>
        <w:trPr>
          <w:trHeight w:val="1" w:hRule="atLeast"/>
          <w:jc w:val="left"/>
        </w:trPr>
        <w:tc>
          <w:tcPr>
            <w:tcW w:w="7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 отношении объектов</w:t>
            </w:r>
          </w:p>
        </w:tc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Ставка налога</w:t>
            </w:r>
          </w:p>
        </w:tc>
      </w:tr>
      <w:tr>
        <w:trPr>
          <w:trHeight w:val="1" w:hRule="atLeast"/>
          <w:jc w:val="left"/>
        </w:trPr>
        <w:tc>
          <w:tcPr>
            <w:tcW w:w="7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 дома;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 помещения;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 незавершенного строительства, в случае если проектируемое назначение таких объектов является жилой дом;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единый недвижимый комплекс, в состав которых входит хотя бы одно жилое помещение;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гараж и машино-место;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 0,1%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 с кадастровой стоимостью свыше 300 млн руб.</w:t>
            </w:r>
          </w:p>
        </w:tc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0, 2%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прочие объекты налогообложения</w:t>
            </w:r>
          </w:p>
        </w:tc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0,3%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                                     3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 вычеты</w:t>
      </w:r>
    </w:p>
    <w:p>
      <w:pPr>
        <w:tabs>
          <w:tab w:val="left" w:pos="947" w:leader="none"/>
        </w:tabs>
        <w:spacing w:before="4" w:after="200" w:line="276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Установить, что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6"/>
          <w:shd w:fill="FFFFFF" w:val="clear"/>
        </w:rPr>
        <w:t xml:space="preserve">для граждан, имеющих в собственности имущество, являющееся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объектом налогообложения на территории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Рынковский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6"/>
          <w:shd w:fill="FFFFFF" w:val="clear"/>
        </w:rPr>
        <w:t xml:space="preserve">налоговые вычеты,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6"/>
          <w:shd w:fill="FFFFFF" w:val="clear"/>
        </w:rPr>
        <w:t xml:space="preserve">установленные действующим налоговым законодательством,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действуют в полном объеме.</w:t>
      </w:r>
    </w:p>
    <w:p>
      <w:pPr>
        <w:tabs>
          <w:tab w:val="left" w:pos="947" w:leader="none"/>
        </w:tabs>
        <w:spacing w:before="4" w:after="200" w:line="276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6"/>
          <w:shd w:fill="FFFFFF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FFFFFF" w:val="clear"/>
        </w:rPr>
        <w:t xml:space="preserve">Налоговые льготы</w:t>
      </w:r>
    </w:p>
    <w:p>
      <w:pPr>
        <w:tabs>
          <w:tab w:val="left" w:pos="0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Налоговые льготы для граждан установлены статьей 407 Налогового кодекса  Российской Федерации  и применяются в порядке, установленном данной статьей.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