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74"/>
        <w:ind w:right="0" w:left="6293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Утверждено</w:t>
      </w:r>
    </w:p>
    <w:p>
      <w:pPr>
        <w:widowControl w:val="false"/>
        <w:spacing w:before="0" w:after="0" w:line="274"/>
        <w:ind w:right="0" w:left="6264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решением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Совета</w:t>
      </w:r>
    </w:p>
    <w:p>
      <w:pPr>
        <w:widowControl w:val="false"/>
        <w:spacing w:before="0" w:after="0" w:line="274"/>
        <w:ind w:right="0" w:left="6264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"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Промысловский</w:t>
      </w:r>
    </w:p>
    <w:p>
      <w:pPr>
        <w:widowControl w:val="false"/>
        <w:spacing w:before="0" w:after="0" w:line="274"/>
        <w:ind w:right="0" w:left="6257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сельсовет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"</w:t>
      </w:r>
    </w:p>
    <w:p>
      <w:pPr>
        <w:widowControl w:val="false"/>
        <w:spacing w:before="0" w:after="0" w:line="274"/>
        <w:ind w:right="0" w:left="6257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28.11.2016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10/1</w:t>
      </w:r>
    </w:p>
    <w:p>
      <w:pPr>
        <w:widowControl w:val="false"/>
        <w:spacing w:before="0" w:after="0" w:line="274"/>
        <w:ind w:right="2110" w:left="210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widowControl w:val="false"/>
        <w:spacing w:before="0" w:after="0" w:line="274"/>
        <w:ind w:right="2110" w:left="210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Положение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физических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территории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"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Промысловский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сельсовет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"</w:t>
      </w:r>
    </w:p>
    <w:p>
      <w:pPr>
        <w:widowControl w:val="false"/>
        <w:spacing w:before="0" w:after="0" w:line="240"/>
        <w:ind w:right="7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widowControl w:val="false"/>
        <w:tabs>
          <w:tab w:val="left" w:pos="317" w:leader="none"/>
        </w:tabs>
        <w:spacing w:before="77" w:after="0" w:line="240"/>
        <w:ind w:right="7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6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  <w:t xml:space="preserve">положения</w:t>
      </w:r>
    </w:p>
    <w:p>
      <w:pPr>
        <w:widowControl w:val="false"/>
        <w:tabs>
          <w:tab w:val="left" w:pos="1087" w:leader="none"/>
        </w:tabs>
        <w:spacing w:before="238" w:after="0" w:line="274"/>
        <w:ind w:right="7" w:left="0" w:firstLine="5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физических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устанавливается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 Налоговым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кодексом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Уставом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Промысловский сельсовет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",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местным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уплачивается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физическим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лицом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обладающим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правом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собственности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признаваемое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объектом налогообложения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настоящим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Положением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widowControl w:val="false"/>
        <w:tabs>
          <w:tab w:val="left" w:pos="1296" w:leader="none"/>
        </w:tabs>
        <w:spacing w:before="0" w:after="0" w:line="274"/>
        <w:ind w:right="14" w:left="7" w:firstLine="57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база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определяется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отношении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каждого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объекта налогообложения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кадастровая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стоимость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указанная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государственном кадастре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недвижимости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состоянию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января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являющегося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налоговым периодом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widowControl w:val="false"/>
        <w:tabs>
          <w:tab w:val="left" w:pos="1296" w:leader="none"/>
        </w:tabs>
        <w:spacing w:before="0" w:after="0" w:line="274"/>
        <w:ind w:right="14" w:left="7" w:firstLine="576"/>
        <w:jc w:val="center"/>
        <w:rPr>
          <w:rFonts w:ascii="Times New Roman" w:hAnsi="Times New Roman" w:cs="Times New Roman" w:eastAsia="Times New Roman"/>
          <w:color w:val="auto"/>
          <w:spacing w:val="1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6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  <w:t xml:space="preserve">Налоговые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  <w:t xml:space="preserve">ставки</w:t>
      </w:r>
    </w:p>
    <w:p>
      <w:pPr>
        <w:widowControl w:val="false"/>
        <w:spacing w:before="151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Ставки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недвижимое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устанавливаются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следующих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размерах</w:t>
      </w:r>
    </w:p>
    <w:tbl>
      <w:tblPr>
        <w:tblInd w:w="40" w:type="dxa"/>
      </w:tblPr>
      <w:tblGrid>
        <w:gridCol w:w="7704"/>
        <w:gridCol w:w="1714"/>
      </w:tblGrid>
      <w:tr>
        <w:trPr>
          <w:trHeight w:val="266" w:hRule="auto"/>
          <w:jc w:val="left"/>
        </w:trPr>
        <w:tc>
          <w:tcPr>
            <w:tcW w:w="77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257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отношении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объектов</w:t>
            </w:r>
          </w:p>
        </w:tc>
        <w:tc>
          <w:tcPr>
            <w:tcW w:w="17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Ставка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налога</w:t>
            </w:r>
          </w:p>
        </w:tc>
      </w:tr>
      <w:tr>
        <w:trPr>
          <w:trHeight w:val="3024" w:hRule="auto"/>
          <w:jc w:val="left"/>
        </w:trPr>
        <w:tc>
          <w:tcPr>
            <w:tcW w:w="77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tabs>
                <w:tab w:val="left" w:pos="252" w:leader="none"/>
              </w:tabs>
              <w:spacing w:before="0" w:after="0" w:line="245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;</w:t>
            </w:r>
          </w:p>
          <w:p>
            <w:pPr>
              <w:widowControl w:val="false"/>
              <w:tabs>
                <w:tab w:val="left" w:pos="252" w:leader="none"/>
              </w:tabs>
              <w:spacing w:before="0" w:after="0" w:line="245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помещения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:</w:t>
            </w:r>
          </w:p>
          <w:p>
            <w:pPr>
              <w:widowControl w:val="false"/>
              <w:spacing w:before="0" w:after="0" w:line="245"/>
              <w:ind w:right="7" w:left="7" w:firstLine="403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незавершенного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строительства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случае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если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проектируемое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назначение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таких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является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:</w:t>
            </w:r>
          </w:p>
          <w:p>
            <w:pPr>
              <w:widowControl w:val="false"/>
              <w:tabs>
                <w:tab w:val="left" w:pos="252" w:leader="none"/>
              </w:tabs>
              <w:spacing w:before="0" w:after="0" w:line="245"/>
              <w:ind w:right="7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единый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недвижимый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комплекс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состав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которых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входит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хотя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одно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помещение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;</w:t>
            </w:r>
          </w:p>
          <w:p>
            <w:pPr>
              <w:widowControl w:val="false"/>
              <w:tabs>
                <w:tab w:val="left" w:pos="252" w:leader="none"/>
              </w:tabs>
              <w:spacing w:before="0" w:after="0" w:line="245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гараж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машино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место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:</w:t>
            </w:r>
          </w:p>
          <w:p>
            <w:pPr>
              <w:widowControl w:val="false"/>
              <w:tabs>
                <w:tab w:val="left" w:pos="382" w:leader="none"/>
              </w:tabs>
              <w:spacing w:before="0" w:after="0" w:line="245"/>
              <w:ind w:right="7" w:left="7" w:firstLine="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хозяйственные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строения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сооружения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площадь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каждого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которых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превышает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50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которые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расположены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земельных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участках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предоставленных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введения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личного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подсобного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дачного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хозяйства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огородничества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садоводства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индивидуального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жилищного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строительства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</w:t>
            </w:r>
          </w:p>
        </w:tc>
        <w:tc>
          <w:tcPr>
            <w:tcW w:w="17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0,1%</w:t>
            </w:r>
          </w:p>
        </w:tc>
      </w:tr>
      <w:tr>
        <w:trPr>
          <w:trHeight w:val="511" w:hRule="auto"/>
          <w:jc w:val="left"/>
        </w:trPr>
        <w:tc>
          <w:tcPr>
            <w:tcW w:w="77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кадастровой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стоимостью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свыше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300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</w:t>
            </w:r>
          </w:p>
        </w:tc>
        <w:tc>
          <w:tcPr>
            <w:tcW w:w="17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1%</w:t>
            </w:r>
          </w:p>
        </w:tc>
      </w:tr>
      <w:tr>
        <w:trPr>
          <w:trHeight w:val="518" w:hRule="auto"/>
          <w:jc w:val="left"/>
        </w:trPr>
        <w:tc>
          <w:tcPr>
            <w:tcW w:w="77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прочие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налогообложения</w:t>
            </w:r>
          </w:p>
        </w:tc>
        <w:tc>
          <w:tcPr>
            <w:tcW w:w="17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0,3%</w:t>
            </w:r>
          </w:p>
        </w:tc>
      </w:tr>
      <w:tr>
        <w:trPr>
          <w:trHeight w:val="1526" w:hRule="auto"/>
          <w:jc w:val="left"/>
        </w:trPr>
        <w:tc>
          <w:tcPr>
            <w:tcW w:w="77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5"/>
              <w:ind w:right="0" w:left="14" w:firstLine="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включенные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перечень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**,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определяемый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соответствии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пунктом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статьи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378.2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пунктом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статьи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378.2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административно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деловые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торговые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центры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нежилые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помещения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которые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используются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размещения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офисов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торговые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общественного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питания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бытового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обслуживания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);</w:t>
            </w:r>
          </w:p>
        </w:tc>
        <w:tc>
          <w:tcPr>
            <w:tcW w:w="17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0,3%</w:t>
            </w:r>
          </w:p>
        </w:tc>
      </w:tr>
    </w:tbl>
    <w:p>
      <w:pPr>
        <w:widowControl w:val="false"/>
        <w:spacing w:before="0" w:after="0" w:line="240"/>
        <w:ind w:right="0" w:left="346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Налоговые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вычеты</w:t>
      </w:r>
    </w:p>
    <w:p>
      <w:pPr>
        <w:widowControl w:val="false"/>
        <w:spacing w:before="108" w:after="0" w:line="274"/>
        <w:ind w:right="7" w:left="7" w:firstLine="3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вычеты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устанавливаются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Главой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32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Кодекса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физических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widowControl w:val="false"/>
        <w:spacing w:before="144" w:after="0" w:line="240"/>
        <w:ind w:right="14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  <w:t xml:space="preserve">Льготы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6"/>
          <w:shd w:fill="auto" w:val="clear"/>
        </w:rPr>
        <w:t xml:space="preserve">налогу</w:t>
      </w:r>
    </w:p>
    <w:p>
      <w:pPr>
        <w:widowControl w:val="false"/>
        <w:spacing w:before="122" w:after="0" w:line="26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Освобождаются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уплаты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физических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налогоплательщики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установленные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статьей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407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Кодекса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