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9" w:rsidRDefault="004E7F29" w:rsidP="004E7F29">
      <w:pPr>
        <w:spacing w:line="307" w:lineRule="exact"/>
        <w:ind w:left="6800"/>
        <w:jc w:val="right"/>
      </w:pPr>
      <w:r w:rsidRPr="004A3332">
        <w:t>Утвержден</w:t>
      </w:r>
      <w:r>
        <w:t>о</w:t>
      </w:r>
      <w:r w:rsidRPr="004A3332">
        <w:t xml:space="preserve"> </w:t>
      </w:r>
    </w:p>
    <w:p w:rsidR="004E7F29" w:rsidRDefault="004E7F29" w:rsidP="004E7F29">
      <w:pPr>
        <w:spacing w:line="307" w:lineRule="exact"/>
        <w:ind w:left="6800"/>
        <w:jc w:val="right"/>
      </w:pPr>
      <w:r w:rsidRPr="004A3332">
        <w:t xml:space="preserve">решением Совета </w:t>
      </w:r>
      <w:r>
        <w:t>м</w:t>
      </w:r>
      <w:r w:rsidRPr="004A3332">
        <w:t>униципального образования «</w:t>
      </w:r>
      <w:r>
        <w:t>Рабочий поселок Лиман</w:t>
      </w:r>
      <w:r w:rsidRPr="004A3332">
        <w:t>»</w:t>
      </w:r>
    </w:p>
    <w:p w:rsidR="004E7F29" w:rsidRDefault="004E7F29" w:rsidP="004E7F29">
      <w:pPr>
        <w:spacing w:line="307" w:lineRule="exact"/>
        <w:ind w:left="6800"/>
      </w:pPr>
      <w:r>
        <w:t xml:space="preserve">          от 21.11.2016г. </w:t>
      </w:r>
      <w:r w:rsidRPr="004A3332">
        <w:t>№</w:t>
      </w:r>
      <w:r>
        <w:t xml:space="preserve"> 41 </w:t>
      </w:r>
      <w:proofErr w:type="gramStart"/>
      <w:r>
        <w:t>ПР</w:t>
      </w:r>
      <w:proofErr w:type="gramEnd"/>
      <w:r>
        <w:t xml:space="preserve"> 9           </w:t>
      </w:r>
    </w:p>
    <w:p w:rsidR="004E7F29" w:rsidRDefault="004E7F29" w:rsidP="004E7F29">
      <w:pPr>
        <w:spacing w:line="307" w:lineRule="exact"/>
        <w:ind w:left="6800"/>
        <w:jc w:val="right"/>
      </w:pPr>
    </w:p>
    <w:p w:rsidR="004E7F29" w:rsidRDefault="004E7F29" w:rsidP="004E7F29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>о налоге на имущество физических лиц на территории</w:t>
      </w:r>
    </w:p>
    <w:p w:rsidR="004E7F29" w:rsidRPr="00C2418A" w:rsidRDefault="004E7F29" w:rsidP="004E7F29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муниципального образования «Рабочий поселок Лиман»</w:t>
      </w:r>
    </w:p>
    <w:p w:rsidR="004E7F29" w:rsidRDefault="004E7F29" w:rsidP="004E7F29">
      <w:pPr>
        <w:rPr>
          <w:sz w:val="28"/>
          <w:szCs w:val="28"/>
        </w:rPr>
      </w:pPr>
    </w:p>
    <w:p w:rsidR="004E7F29" w:rsidRDefault="004E7F29" w:rsidP="004E7F29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E7F29" w:rsidRPr="008F2E89" w:rsidRDefault="004E7F29" w:rsidP="004E7F29">
      <w:pPr>
        <w:jc w:val="center"/>
        <w:rPr>
          <w:sz w:val="28"/>
          <w:szCs w:val="28"/>
        </w:rPr>
      </w:pPr>
    </w:p>
    <w:p w:rsidR="004E7F29" w:rsidRPr="008F2E89" w:rsidRDefault="004E7F29" w:rsidP="004E7F29">
      <w:pPr>
        <w:ind w:firstLine="567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8F2E89">
        <w:rPr>
          <w:sz w:val="28"/>
          <w:szCs w:val="28"/>
        </w:rPr>
        <w:t xml:space="preserve"> </w:t>
      </w:r>
      <w:proofErr w:type="gramStart"/>
      <w:r w:rsidRPr="008F2E89">
        <w:rPr>
          <w:sz w:val="28"/>
          <w:szCs w:val="28"/>
        </w:rPr>
        <w:t xml:space="preserve">Налог на имущество физических лиц  устанавливается в соответствии с </w:t>
      </w:r>
      <w:hyperlink r:id="rId6" w:history="1">
        <w:r w:rsidRPr="00FE61E4">
          <w:rPr>
            <w:rStyle w:val="a6"/>
            <w:b w:val="0"/>
            <w:sz w:val="28"/>
            <w:szCs w:val="28"/>
          </w:rPr>
          <w:t>Налоговым кодексом</w:t>
        </w:r>
      </w:hyperlink>
      <w:r w:rsidRPr="008F2E89">
        <w:rPr>
          <w:sz w:val="28"/>
          <w:szCs w:val="28"/>
        </w:rPr>
        <w:t xml:space="preserve"> Российской Федерации, </w:t>
      </w:r>
      <w:r w:rsidRPr="002D1850">
        <w:rPr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Постановлением Правительства Астраханской области от 14.12.2012 «Об утверждении результатов кадастровой оценки объектов недвижимости, за исключением земельных участков, на территории Астраханской области, </w:t>
      </w:r>
      <w:r w:rsidRPr="008F2E8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«Рабочий поселок Лиман»</w:t>
      </w:r>
      <w:r w:rsidRPr="008F2E89">
        <w:rPr>
          <w:sz w:val="28"/>
          <w:szCs w:val="28"/>
        </w:rPr>
        <w:t>, является местным налогом и уплачивается физическим лицом, обладающим правом</w:t>
      </w:r>
      <w:proofErr w:type="gramEnd"/>
      <w:r w:rsidRPr="008F2E89">
        <w:rPr>
          <w:sz w:val="28"/>
          <w:szCs w:val="28"/>
        </w:rPr>
        <w:t xml:space="preserve"> собственности на имущество, признаваемое объектом налогообложения, в соответствии с настоящим Положением.</w:t>
      </w:r>
    </w:p>
    <w:p w:rsidR="004E7F29" w:rsidRPr="008F2E89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F2E89">
        <w:rPr>
          <w:sz w:val="28"/>
          <w:szCs w:val="28"/>
        </w:rPr>
        <w:t>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4E7F29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ab/>
      </w:r>
      <w:r>
        <w:rPr>
          <w:sz w:val="28"/>
          <w:szCs w:val="28"/>
        </w:rPr>
        <w:t>1.3</w:t>
      </w:r>
      <w:r w:rsidRPr="00C94E0C">
        <w:rPr>
          <w:sz w:val="28"/>
          <w:szCs w:val="28"/>
        </w:rPr>
        <w:t xml:space="preserve">. Налогоплательщиками налога 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РФ и пунктом </w:t>
      </w:r>
      <w:r>
        <w:rPr>
          <w:sz w:val="28"/>
          <w:szCs w:val="28"/>
        </w:rPr>
        <w:t>4</w:t>
      </w:r>
      <w:r w:rsidRPr="00C94E0C">
        <w:rPr>
          <w:sz w:val="28"/>
          <w:szCs w:val="28"/>
        </w:rPr>
        <w:t xml:space="preserve"> настоящего решения.</w:t>
      </w:r>
    </w:p>
    <w:p w:rsidR="004E7F29" w:rsidRDefault="004E7F29" w:rsidP="004E7F29">
      <w:pPr>
        <w:ind w:firstLine="567"/>
        <w:jc w:val="both"/>
        <w:rPr>
          <w:sz w:val="28"/>
          <w:szCs w:val="28"/>
        </w:rPr>
      </w:pPr>
    </w:p>
    <w:p w:rsidR="004E7F29" w:rsidRDefault="004E7F29" w:rsidP="004E7F2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Объекты налогообложения</w:t>
      </w:r>
    </w:p>
    <w:p w:rsidR="004E7F29" w:rsidRPr="00C94E0C" w:rsidRDefault="004E7F29" w:rsidP="004E7F29">
      <w:pPr>
        <w:ind w:firstLine="567"/>
        <w:jc w:val="center"/>
        <w:rPr>
          <w:sz w:val="28"/>
          <w:szCs w:val="28"/>
        </w:rPr>
      </w:pP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94E0C">
        <w:rPr>
          <w:sz w:val="28"/>
          <w:szCs w:val="28"/>
        </w:rPr>
        <w:t xml:space="preserve">Объектом налогообложения признается расположенное в пределах муниципального образования </w:t>
      </w:r>
      <w:r>
        <w:rPr>
          <w:sz w:val="28"/>
          <w:szCs w:val="28"/>
        </w:rPr>
        <w:t>«Рабочий поселок Лиман»</w:t>
      </w:r>
      <w:r w:rsidRPr="00C94E0C">
        <w:rPr>
          <w:sz w:val="28"/>
          <w:szCs w:val="28"/>
        </w:rPr>
        <w:t xml:space="preserve"> следующее имущество: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>1) жилой дом;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>2) жилое помещение (квартира, комната);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гараж,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- </w:t>
      </w:r>
      <w:r w:rsidRPr="00C94E0C">
        <w:rPr>
          <w:sz w:val="28"/>
          <w:szCs w:val="28"/>
        </w:rPr>
        <w:t>место;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>4) единый недвижимый комплекс;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>5) объект незавершенного строительства;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иные здания</w:t>
      </w:r>
      <w:r w:rsidRPr="00C94E0C">
        <w:rPr>
          <w:sz w:val="28"/>
          <w:szCs w:val="28"/>
        </w:rPr>
        <w:t>, строени</w:t>
      </w:r>
      <w:r>
        <w:rPr>
          <w:sz w:val="28"/>
          <w:szCs w:val="28"/>
        </w:rPr>
        <w:t>я</w:t>
      </w:r>
      <w:r w:rsidRPr="00C94E0C">
        <w:rPr>
          <w:sz w:val="28"/>
          <w:szCs w:val="28"/>
        </w:rPr>
        <w:t>, сооружени</w:t>
      </w:r>
      <w:r>
        <w:rPr>
          <w:sz w:val="28"/>
          <w:szCs w:val="28"/>
        </w:rPr>
        <w:t>я, помещения</w:t>
      </w:r>
      <w:r w:rsidRPr="00C94E0C">
        <w:rPr>
          <w:sz w:val="28"/>
          <w:szCs w:val="28"/>
        </w:rPr>
        <w:t>.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 xml:space="preserve">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4E7F29" w:rsidRDefault="004E7F29" w:rsidP="004E7F29">
      <w:pPr>
        <w:ind w:firstLine="56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4E7F29" w:rsidRDefault="004E7F29" w:rsidP="004E7F29">
      <w:pPr>
        <w:ind w:firstLine="567"/>
        <w:jc w:val="both"/>
        <w:rPr>
          <w:sz w:val="28"/>
          <w:szCs w:val="28"/>
        </w:rPr>
      </w:pPr>
    </w:p>
    <w:p w:rsidR="004E7F29" w:rsidRDefault="004E7F29" w:rsidP="004E7F29">
      <w:pPr>
        <w:ind w:firstLine="567"/>
        <w:jc w:val="center"/>
        <w:rPr>
          <w:sz w:val="28"/>
          <w:szCs w:val="28"/>
        </w:rPr>
      </w:pPr>
    </w:p>
    <w:p w:rsidR="004E7F29" w:rsidRDefault="004E7F29" w:rsidP="004E7F2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3. Налоговая база</w:t>
      </w:r>
    </w:p>
    <w:p w:rsidR="004E7F29" w:rsidRPr="00C94E0C" w:rsidRDefault="004E7F29" w:rsidP="004E7F29">
      <w:pPr>
        <w:ind w:firstLine="567"/>
        <w:jc w:val="center"/>
        <w:rPr>
          <w:sz w:val="28"/>
          <w:szCs w:val="28"/>
        </w:rPr>
      </w:pP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94E0C">
        <w:rPr>
          <w:sz w:val="28"/>
          <w:szCs w:val="28"/>
        </w:rPr>
        <w:t>. Налоговая база в отношении объектов налогообложения определяется исходя из их кадастровой стоимости</w:t>
      </w:r>
      <w:r>
        <w:rPr>
          <w:sz w:val="28"/>
          <w:szCs w:val="28"/>
        </w:rPr>
        <w:t>.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E0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94E0C">
        <w:rPr>
          <w:sz w:val="28"/>
          <w:szCs w:val="28"/>
        </w:rPr>
        <w:t>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РФ.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E0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94E0C">
        <w:rPr>
          <w:sz w:val="28"/>
          <w:szCs w:val="28"/>
        </w:rPr>
        <w:t>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94E0C">
        <w:rPr>
          <w:sz w:val="28"/>
          <w:szCs w:val="28"/>
        </w:rPr>
        <w:t>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E0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94E0C">
        <w:rPr>
          <w:sz w:val="28"/>
          <w:szCs w:val="28"/>
        </w:rPr>
        <w:t>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E0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94E0C">
        <w:rPr>
          <w:sz w:val="28"/>
          <w:szCs w:val="28"/>
        </w:rPr>
        <w:t>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E0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94E0C">
        <w:rPr>
          <w:sz w:val="28"/>
          <w:szCs w:val="28"/>
        </w:rPr>
        <w:t>. В случае если при применении налоговых вычетов, предусмотренных пунктами 3</w:t>
      </w:r>
      <w:r>
        <w:rPr>
          <w:sz w:val="28"/>
          <w:szCs w:val="28"/>
        </w:rPr>
        <w:t>.3</w:t>
      </w:r>
      <w:r w:rsidRPr="00C94E0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4E0C">
        <w:rPr>
          <w:sz w:val="28"/>
          <w:szCs w:val="28"/>
        </w:rPr>
        <w:t xml:space="preserve"> </w:t>
      </w:r>
      <w:r>
        <w:rPr>
          <w:sz w:val="28"/>
          <w:szCs w:val="28"/>
        </w:rPr>
        <w:t>3.5</w:t>
      </w:r>
      <w:r w:rsidRPr="00C94E0C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94E0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Pr="00C94E0C">
        <w:rPr>
          <w:sz w:val="28"/>
          <w:szCs w:val="28"/>
        </w:rPr>
        <w:t xml:space="preserve">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C94E0C">
        <w:rPr>
          <w:sz w:val="28"/>
          <w:szCs w:val="28"/>
        </w:rPr>
        <w:t>равной</w:t>
      </w:r>
      <w:proofErr w:type="gramEnd"/>
      <w:r w:rsidRPr="00C94E0C">
        <w:rPr>
          <w:sz w:val="28"/>
          <w:szCs w:val="28"/>
        </w:rPr>
        <w:t xml:space="preserve"> нулю.</w:t>
      </w:r>
    </w:p>
    <w:p w:rsidR="004E7F29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C94E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4E0C">
        <w:rPr>
          <w:sz w:val="28"/>
          <w:szCs w:val="28"/>
        </w:rPr>
        <w:t xml:space="preserve">Налоговым периодом признается календарный год </w:t>
      </w:r>
    </w:p>
    <w:p w:rsidR="004E7F29" w:rsidRDefault="004E7F29" w:rsidP="004E7F29">
      <w:pPr>
        <w:ind w:firstLine="547"/>
        <w:jc w:val="both"/>
        <w:rPr>
          <w:sz w:val="28"/>
          <w:szCs w:val="28"/>
        </w:rPr>
      </w:pPr>
    </w:p>
    <w:p w:rsidR="004E7F29" w:rsidRDefault="004E7F29" w:rsidP="004E7F29">
      <w:pPr>
        <w:ind w:firstLine="547"/>
        <w:jc w:val="center"/>
        <w:rPr>
          <w:sz w:val="28"/>
          <w:szCs w:val="28"/>
        </w:rPr>
      </w:pPr>
      <w:r>
        <w:rPr>
          <w:sz w:val="28"/>
          <w:szCs w:val="28"/>
        </w:rPr>
        <w:t>4. Ставки налога</w:t>
      </w:r>
    </w:p>
    <w:p w:rsidR="004E7F29" w:rsidRPr="00C94E0C" w:rsidRDefault="004E7F29" w:rsidP="004E7F29">
      <w:pPr>
        <w:ind w:firstLine="547"/>
        <w:jc w:val="center"/>
        <w:rPr>
          <w:sz w:val="28"/>
          <w:szCs w:val="28"/>
        </w:rPr>
      </w:pP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 xml:space="preserve">.На территории муниципального образования </w:t>
      </w:r>
      <w:r>
        <w:rPr>
          <w:sz w:val="28"/>
          <w:szCs w:val="28"/>
        </w:rPr>
        <w:t>«Рабочий поселок Лиман»</w:t>
      </w:r>
      <w:r w:rsidRPr="00C94E0C">
        <w:rPr>
          <w:sz w:val="28"/>
          <w:szCs w:val="28"/>
        </w:rPr>
        <w:t xml:space="preserve"> устанавливаются следующие ставки </w:t>
      </w:r>
      <w:proofErr w:type="gramStart"/>
      <w:r w:rsidRPr="00C94E0C">
        <w:rPr>
          <w:sz w:val="28"/>
          <w:szCs w:val="28"/>
        </w:rPr>
        <w:t>налога</w:t>
      </w:r>
      <w:proofErr w:type="gramEnd"/>
      <w:r w:rsidRPr="00C94E0C">
        <w:rPr>
          <w:sz w:val="28"/>
          <w:szCs w:val="28"/>
        </w:rPr>
        <w:t xml:space="preserve"> на имущество физических лиц исходя из кадастровой стоимости объекта налогообложения: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.1. 0,2 процента в отношении домов, указанных в главе 32 Налогового Кодекса РФ: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.2. 0,1 процента в отношении квартир и комнат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.4. 0,2 процента в отношении единых недвижимых комплексов, в состав которых входит хотя бы одно жилое помещение (жилой дом);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.5. 0,3 процен</w:t>
      </w:r>
      <w:r>
        <w:rPr>
          <w:sz w:val="28"/>
          <w:szCs w:val="28"/>
        </w:rPr>
        <w:t xml:space="preserve">та в отношении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- </w:t>
      </w:r>
      <w:r w:rsidRPr="00C94E0C">
        <w:rPr>
          <w:sz w:val="28"/>
          <w:szCs w:val="28"/>
        </w:rPr>
        <w:t>мест;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 xml:space="preserve">.7. 2 процента в отношении объектов налогообложения, включенных в перечень, определяемый в соответствии с пунктом 7 статьи 378.2 Налогового Кодекса РФ, в отношении объектов налогообложения, предусмотренных абзацем </w:t>
      </w:r>
      <w:r w:rsidRPr="00C94E0C">
        <w:rPr>
          <w:sz w:val="28"/>
          <w:szCs w:val="28"/>
        </w:rPr>
        <w:lastRenderedPageBreak/>
        <w:t>вторым пункта 10 статьи 378.2 Налогового Кодекса РФ, а также в отношении объектов налогообложения, кадастровая стоимость каждого из которых превышает 300 миллионов рублей;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.8. 0,5 процента в отношении прочих объектов налогообложения</w:t>
      </w:r>
    </w:p>
    <w:p w:rsidR="004E7F29" w:rsidRPr="00C94E0C" w:rsidRDefault="004E7F29" w:rsidP="004E7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C94E0C">
        <w:rPr>
          <w:sz w:val="28"/>
          <w:szCs w:val="28"/>
        </w:rPr>
        <w:t>.9.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C94E0C">
        <w:rPr>
          <w:sz w:val="28"/>
          <w:szCs w:val="28"/>
        </w:rPr>
        <w:t xml:space="preserve"> случае определения налоговой базы исходя из инвентаризационной стоимости</w:t>
      </w:r>
      <w:r>
        <w:rPr>
          <w:sz w:val="28"/>
          <w:szCs w:val="28"/>
        </w:rPr>
        <w:t>,</w:t>
      </w:r>
      <w:r w:rsidRPr="00C94E0C">
        <w:rPr>
          <w:sz w:val="28"/>
          <w:szCs w:val="28"/>
        </w:rPr>
        <w:t xml:space="preserve"> налоговые ставки устанавливаются на основе,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</w:t>
      </w:r>
      <w:r>
        <w:rPr>
          <w:sz w:val="28"/>
          <w:szCs w:val="28"/>
        </w:rPr>
        <w:t xml:space="preserve"> (</w:t>
      </w:r>
      <w:r w:rsidRPr="00C94E0C">
        <w:rPr>
          <w:sz w:val="28"/>
          <w:szCs w:val="28"/>
        </w:rPr>
        <w:t xml:space="preserve">с учетом доли налогоплательщика в праве общей собственности на каждый из таких объектов), расположенных в пределах муниципального образования </w:t>
      </w:r>
      <w:r>
        <w:rPr>
          <w:sz w:val="28"/>
          <w:szCs w:val="28"/>
        </w:rPr>
        <w:t xml:space="preserve">«Рабочий поселок Лиман» </w:t>
      </w:r>
      <w:r w:rsidRPr="00C94E0C">
        <w:rPr>
          <w:sz w:val="28"/>
          <w:szCs w:val="28"/>
        </w:rPr>
        <w:t>в следующих размерах:</w:t>
      </w:r>
      <w:proofErr w:type="gramEnd"/>
    </w:p>
    <w:p w:rsidR="004E7F29" w:rsidRPr="00C94E0C" w:rsidRDefault="004E7F29" w:rsidP="004E7F29">
      <w:pPr>
        <w:tabs>
          <w:tab w:val="left" w:pos="5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4290"/>
      </w:tblGrid>
      <w:tr w:rsidR="004E7F29" w:rsidRPr="00C94E0C" w:rsidTr="000D335C">
        <w:tc>
          <w:tcPr>
            <w:tcW w:w="0" w:type="auto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 xml:space="preserve">Суммарная инвентаризационная стоимость </w:t>
            </w:r>
          </w:p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 xml:space="preserve">объектов налогообложения, </w:t>
            </w:r>
            <w:proofErr w:type="gramStart"/>
            <w:r w:rsidRPr="00C94E0C">
              <w:rPr>
                <w:sz w:val="28"/>
                <w:szCs w:val="28"/>
              </w:rPr>
              <w:t>умноженная</w:t>
            </w:r>
            <w:proofErr w:type="gramEnd"/>
          </w:p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C94E0C">
              <w:rPr>
                <w:sz w:val="28"/>
                <w:szCs w:val="28"/>
              </w:rPr>
              <w:t>на коэффициент-дефлятор (с учетом доли</w:t>
            </w:r>
            <w:proofErr w:type="gramEnd"/>
          </w:p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 xml:space="preserve">налогоплательщика в праве общей </w:t>
            </w:r>
          </w:p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>собственности на каждый из таких объектов)</w:t>
            </w:r>
          </w:p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290" w:type="dxa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>Ставка налога</w:t>
            </w:r>
          </w:p>
        </w:tc>
      </w:tr>
      <w:tr w:rsidR="004E7F29" w:rsidRPr="00C94E0C" w:rsidTr="000D335C">
        <w:tc>
          <w:tcPr>
            <w:tcW w:w="0" w:type="auto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>До 300 000 рублей (включительно)</w:t>
            </w:r>
          </w:p>
        </w:tc>
        <w:tc>
          <w:tcPr>
            <w:tcW w:w="4290" w:type="dxa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 xml:space="preserve">0,2% </w:t>
            </w:r>
          </w:p>
        </w:tc>
      </w:tr>
      <w:tr w:rsidR="004E7F29" w:rsidRPr="00C94E0C" w:rsidTr="000D335C">
        <w:tc>
          <w:tcPr>
            <w:tcW w:w="0" w:type="auto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>Свыше 300 000 до 500 000 рублей</w:t>
            </w:r>
          </w:p>
        </w:tc>
        <w:tc>
          <w:tcPr>
            <w:tcW w:w="4290" w:type="dxa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 xml:space="preserve">0,3% </w:t>
            </w:r>
          </w:p>
        </w:tc>
      </w:tr>
      <w:tr w:rsidR="004E7F29" w:rsidRPr="00C94E0C" w:rsidTr="000D335C">
        <w:tc>
          <w:tcPr>
            <w:tcW w:w="0" w:type="auto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>Свыше 500 000 рублей</w:t>
            </w:r>
          </w:p>
        </w:tc>
        <w:tc>
          <w:tcPr>
            <w:tcW w:w="4290" w:type="dxa"/>
          </w:tcPr>
          <w:p w:rsidR="004E7F29" w:rsidRPr="00C94E0C" w:rsidRDefault="004E7F29" w:rsidP="000D335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94E0C">
              <w:rPr>
                <w:sz w:val="28"/>
                <w:szCs w:val="28"/>
              </w:rPr>
              <w:t xml:space="preserve">2,0% </w:t>
            </w:r>
          </w:p>
        </w:tc>
      </w:tr>
    </w:tbl>
    <w:p w:rsidR="004E7F29" w:rsidRDefault="004E7F29" w:rsidP="004E7F29">
      <w:pPr>
        <w:tabs>
          <w:tab w:val="left" w:pos="54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E7F29" w:rsidRDefault="004E7F29" w:rsidP="004E7F29">
      <w:pPr>
        <w:tabs>
          <w:tab w:val="left" w:pos="5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5. Налоговые льготы</w:t>
      </w:r>
    </w:p>
    <w:p w:rsidR="004E7F29" w:rsidRPr="00C94E0C" w:rsidRDefault="004E7F29" w:rsidP="004E7F29">
      <w:pPr>
        <w:tabs>
          <w:tab w:val="left" w:pos="5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E7F29" w:rsidRDefault="004E7F29" w:rsidP="004E7F29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5.1. Н</w:t>
      </w:r>
      <w:r w:rsidRPr="00C94E0C">
        <w:rPr>
          <w:sz w:val="28"/>
          <w:szCs w:val="28"/>
        </w:rPr>
        <w:t xml:space="preserve">алоговые льготы для </w:t>
      </w:r>
      <w:r>
        <w:rPr>
          <w:sz w:val="28"/>
          <w:szCs w:val="28"/>
        </w:rPr>
        <w:t>граждан установлены</w:t>
      </w:r>
      <w:r w:rsidRPr="00C94E0C">
        <w:rPr>
          <w:sz w:val="28"/>
          <w:szCs w:val="28"/>
        </w:rPr>
        <w:t xml:space="preserve"> статье</w:t>
      </w:r>
      <w:r>
        <w:rPr>
          <w:sz w:val="28"/>
          <w:szCs w:val="28"/>
        </w:rPr>
        <w:t>й 407 НК</w:t>
      </w:r>
      <w:r w:rsidRPr="00C94E0C">
        <w:rPr>
          <w:sz w:val="28"/>
          <w:szCs w:val="28"/>
        </w:rPr>
        <w:t xml:space="preserve"> РФ и </w:t>
      </w:r>
      <w:r>
        <w:rPr>
          <w:sz w:val="28"/>
          <w:szCs w:val="28"/>
        </w:rPr>
        <w:t xml:space="preserve">применяются </w:t>
      </w:r>
      <w:r w:rsidRPr="00C94E0C">
        <w:rPr>
          <w:sz w:val="28"/>
          <w:szCs w:val="28"/>
        </w:rPr>
        <w:t>в порядке, установленном данной статьей.</w:t>
      </w:r>
    </w:p>
    <w:p w:rsidR="004E7F29" w:rsidRDefault="004E7F29" w:rsidP="004E7F29">
      <w:pPr>
        <w:tabs>
          <w:tab w:val="left" w:pos="540"/>
        </w:tabs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4E7F29" w:rsidRDefault="004E7F29" w:rsidP="004E7F29">
      <w:pPr>
        <w:tabs>
          <w:tab w:val="left" w:pos="5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 Заключительные положения</w:t>
      </w:r>
    </w:p>
    <w:p w:rsidR="004E7F29" w:rsidRPr="00C94E0C" w:rsidRDefault="004E7F29" w:rsidP="004E7F29">
      <w:pPr>
        <w:tabs>
          <w:tab w:val="left" w:pos="54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ab/>
      </w:r>
      <w:r>
        <w:rPr>
          <w:sz w:val="28"/>
          <w:szCs w:val="28"/>
        </w:rPr>
        <w:t>6.1</w:t>
      </w:r>
      <w:r w:rsidRPr="00C94E0C">
        <w:rPr>
          <w:sz w:val="28"/>
          <w:szCs w:val="28"/>
        </w:rPr>
        <w:t>.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статьей 408 Налогового Кодекса РФ.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ab/>
      </w:r>
      <w:r>
        <w:rPr>
          <w:sz w:val="28"/>
          <w:szCs w:val="28"/>
        </w:rPr>
        <w:t>6.2</w:t>
      </w:r>
      <w:r w:rsidRPr="00C94E0C">
        <w:rPr>
          <w:sz w:val="28"/>
          <w:szCs w:val="28"/>
        </w:rPr>
        <w:t xml:space="preserve">. Налог подлежит уплате налогоплательщиками в срок не позднее 1 </w:t>
      </w:r>
      <w:r>
        <w:rPr>
          <w:sz w:val="28"/>
          <w:szCs w:val="28"/>
        </w:rPr>
        <w:t>октября</w:t>
      </w:r>
      <w:r w:rsidRPr="00C94E0C">
        <w:rPr>
          <w:sz w:val="28"/>
          <w:szCs w:val="28"/>
        </w:rPr>
        <w:t xml:space="preserve"> года, следующего за истекшим налоговым периодом.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6.3. </w:t>
      </w:r>
      <w:r w:rsidRPr="00C94E0C">
        <w:rPr>
          <w:sz w:val="28"/>
          <w:szCs w:val="28"/>
        </w:rPr>
        <w:t>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6.4. </w:t>
      </w:r>
      <w:r w:rsidRPr="00C94E0C">
        <w:rPr>
          <w:sz w:val="28"/>
          <w:szCs w:val="28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4E7F29" w:rsidRPr="00C94E0C" w:rsidRDefault="004E7F29" w:rsidP="004E7F29">
      <w:pPr>
        <w:ind w:firstLine="547"/>
        <w:jc w:val="both"/>
        <w:rPr>
          <w:sz w:val="28"/>
          <w:szCs w:val="28"/>
        </w:rPr>
      </w:pPr>
      <w:r w:rsidRPr="00C94E0C">
        <w:rPr>
          <w:sz w:val="28"/>
          <w:szCs w:val="28"/>
        </w:rPr>
        <w:t>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4E7F29" w:rsidRDefault="004E7F29" w:rsidP="004E7F29"/>
    <w:p w:rsidR="000D00C8" w:rsidRDefault="000D00C8">
      <w:bookmarkStart w:id="0" w:name="_GoBack"/>
      <w:bookmarkEnd w:id="0"/>
    </w:p>
    <w:sectPr w:rsidR="000D00C8" w:rsidSect="00FE61E4">
      <w:headerReference w:type="even" r:id="rId7"/>
      <w:headerReference w:type="default" r:id="rId8"/>
      <w:pgSz w:w="11906" w:h="16838"/>
      <w:pgMar w:top="539" w:right="566" w:bottom="426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4E7F29" w:rsidP="00FE61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11F3" w:rsidRDefault="004E7F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F3" w:rsidRDefault="004E7F29" w:rsidP="00FE61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11F3" w:rsidRDefault="004E7F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D37"/>
    <w:multiLevelType w:val="hybridMultilevel"/>
    <w:tmpl w:val="3D5A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9"/>
    <w:rsid w:val="000D00C8"/>
    <w:rsid w:val="004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F2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F2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rsid w:val="004E7F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7F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7F29"/>
  </w:style>
  <w:style w:type="character" w:customStyle="1" w:styleId="a6">
    <w:name w:val="Гипертекстовая ссылка"/>
    <w:rsid w:val="004E7F2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F2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F2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rsid w:val="004E7F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7F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7F29"/>
  </w:style>
  <w:style w:type="character" w:customStyle="1" w:styleId="a6">
    <w:name w:val="Гипертекстовая ссылка"/>
    <w:rsid w:val="004E7F2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2017-01-02T18:57:00Z</dcterms:created>
  <dcterms:modified xsi:type="dcterms:W3CDTF">2017-01-02T18:58:00Z</dcterms:modified>
</cp:coreProperties>
</file>