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4C" w:rsidRDefault="00A60D4C" w:rsidP="00A60D4C">
      <w:pPr>
        <w:pStyle w:val="ConsPlusNormal"/>
        <w:jc w:val="right"/>
        <w:outlineLvl w:val="0"/>
      </w:pPr>
      <w:r>
        <w:t>Утверждено</w:t>
      </w:r>
    </w:p>
    <w:p w:rsidR="00A60D4C" w:rsidRDefault="00A60D4C" w:rsidP="00A60D4C">
      <w:pPr>
        <w:pStyle w:val="ConsPlusNormal"/>
        <w:jc w:val="right"/>
      </w:pPr>
      <w:r>
        <w:t>Решением Городской Думы</w:t>
      </w:r>
    </w:p>
    <w:p w:rsidR="00A60D4C" w:rsidRDefault="00A60D4C" w:rsidP="00A60D4C">
      <w:pPr>
        <w:pStyle w:val="ConsPlusNormal"/>
        <w:jc w:val="right"/>
      </w:pPr>
      <w:r>
        <w:t>от 17 ноября 2016 г. N 151</w:t>
      </w:r>
    </w:p>
    <w:p w:rsidR="00A60D4C" w:rsidRDefault="00A60D4C" w:rsidP="00A60D4C">
      <w:pPr>
        <w:pStyle w:val="ConsPlusNormal"/>
        <w:jc w:val="center"/>
      </w:pPr>
    </w:p>
    <w:p w:rsidR="00A60D4C" w:rsidRDefault="00A60D4C" w:rsidP="00A60D4C">
      <w:pPr>
        <w:pStyle w:val="ConsPlusTitle"/>
        <w:jc w:val="center"/>
      </w:pPr>
      <w:bookmarkStart w:id="0" w:name="P35"/>
      <w:bookmarkEnd w:id="0"/>
      <w:r>
        <w:t>ПОЛОЖЕНИЕ</w:t>
      </w:r>
    </w:p>
    <w:p w:rsidR="00A60D4C" w:rsidRDefault="00A60D4C" w:rsidP="00A60D4C">
      <w:pPr>
        <w:pStyle w:val="ConsPlusTitle"/>
        <w:jc w:val="center"/>
      </w:pPr>
      <w:r>
        <w:t>О НАЛОГЕ НА ИМУЩЕСТВО ФИЗИЧЕСКИХ ЛИЦ НА ТЕРРИТОРИИ</w:t>
      </w:r>
    </w:p>
    <w:p w:rsidR="00A60D4C" w:rsidRDefault="00A60D4C" w:rsidP="00A60D4C">
      <w:pPr>
        <w:pStyle w:val="ConsPlusTitle"/>
        <w:jc w:val="center"/>
      </w:pPr>
      <w:r>
        <w:t>МУНИЦИПАЛЬНОГО ОБРАЗОВАНИЯ "ГОРОД АСТРАХАНЬ"</w:t>
      </w:r>
    </w:p>
    <w:p w:rsidR="00A60D4C" w:rsidRDefault="00A60D4C" w:rsidP="00A60D4C">
      <w:pPr>
        <w:pStyle w:val="ConsPlusNormal"/>
        <w:jc w:val="center"/>
      </w:pPr>
      <w:r>
        <w:t>Список изменяющих документов</w:t>
      </w:r>
    </w:p>
    <w:p w:rsidR="00A60D4C" w:rsidRPr="00A60D4C" w:rsidRDefault="00A60D4C" w:rsidP="00A60D4C">
      <w:pPr>
        <w:pStyle w:val="ConsPlusNormal"/>
        <w:jc w:val="center"/>
      </w:pPr>
      <w:proofErr w:type="gramStart"/>
      <w:r w:rsidRPr="00A60D4C">
        <w:t xml:space="preserve">(в ред. </w:t>
      </w:r>
      <w:hyperlink r:id="rId5" w:history="1">
        <w:r w:rsidRPr="00A60D4C">
          <w:t>Решен</w:t>
        </w:r>
        <w:r w:rsidRPr="00A60D4C">
          <w:t>и</w:t>
        </w:r>
        <w:r w:rsidRPr="00A60D4C">
          <w:t>я</w:t>
        </w:r>
      </w:hyperlink>
      <w:r w:rsidRPr="00A60D4C">
        <w:t xml:space="preserve"> Городской Думы муниципального образования "Город Астрахань"</w:t>
      </w:r>
      <w:proofErr w:type="gramEnd"/>
    </w:p>
    <w:p w:rsidR="00A60D4C" w:rsidRPr="00A60D4C" w:rsidRDefault="00A60D4C" w:rsidP="00A60D4C">
      <w:pPr>
        <w:pStyle w:val="ConsPlusNormal"/>
        <w:jc w:val="center"/>
      </w:pPr>
      <w:r w:rsidRPr="00A60D4C">
        <w:t>от 28.11.2017 N 187)</w:t>
      </w:r>
    </w:p>
    <w:p w:rsidR="00A60D4C" w:rsidRPr="00A60D4C" w:rsidRDefault="00A60D4C" w:rsidP="00A60D4C">
      <w:pPr>
        <w:pStyle w:val="ConsPlusNormal"/>
        <w:jc w:val="center"/>
      </w:pPr>
    </w:p>
    <w:p w:rsidR="00A60D4C" w:rsidRPr="00A60D4C" w:rsidRDefault="00A60D4C" w:rsidP="00A60D4C">
      <w:pPr>
        <w:pStyle w:val="ConsPlusNormal"/>
        <w:jc w:val="center"/>
        <w:outlineLvl w:val="1"/>
      </w:pPr>
      <w:r w:rsidRPr="00A60D4C">
        <w:t>1. Общие положения</w:t>
      </w:r>
    </w:p>
    <w:p w:rsidR="00A60D4C" w:rsidRPr="00A60D4C" w:rsidRDefault="00A60D4C" w:rsidP="00A60D4C">
      <w:pPr>
        <w:pStyle w:val="ConsPlusNormal"/>
        <w:jc w:val="center"/>
      </w:pPr>
    </w:p>
    <w:p w:rsidR="00A60D4C" w:rsidRPr="00A60D4C" w:rsidRDefault="00A60D4C" w:rsidP="00A60D4C">
      <w:pPr>
        <w:pStyle w:val="ConsPlusNormal"/>
        <w:ind w:firstLine="540"/>
        <w:jc w:val="both"/>
      </w:pPr>
      <w:r w:rsidRPr="00A60D4C">
        <w:t xml:space="preserve">1.1. Налог на имущество физических лиц устанавливается в соответствии с Налоговым </w:t>
      </w:r>
      <w:hyperlink r:id="rId6" w:history="1">
        <w:r w:rsidRPr="00A60D4C">
          <w:t>кодексом</w:t>
        </w:r>
      </w:hyperlink>
      <w:r w:rsidRPr="00A60D4C">
        <w:t xml:space="preserve"> Российской Федерации, </w:t>
      </w:r>
      <w:hyperlink r:id="rId7" w:history="1">
        <w:r w:rsidRPr="00A60D4C">
          <w:t>Уставом</w:t>
        </w:r>
      </w:hyperlink>
      <w:r w:rsidRPr="00A60D4C">
        <w:t xml:space="preserve"> муниципального образования "Город Астрахань",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8" w:history="1">
        <w:r w:rsidRPr="00A60D4C">
          <w:t>кодексом</w:t>
        </w:r>
      </w:hyperlink>
      <w:r w:rsidRPr="00A60D4C">
        <w:t xml:space="preserve"> Российской Федерации и настоящим Положением.</w:t>
      </w:r>
    </w:p>
    <w:p w:rsidR="00A60D4C" w:rsidRPr="00A60D4C" w:rsidRDefault="00A60D4C" w:rsidP="00A60D4C">
      <w:pPr>
        <w:pStyle w:val="ConsPlusNormal"/>
        <w:spacing w:before="220"/>
        <w:ind w:firstLine="540"/>
        <w:jc w:val="both"/>
      </w:pPr>
      <w:r w:rsidRPr="00A60D4C">
        <w:t>1.2.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периодом.</w:t>
      </w:r>
    </w:p>
    <w:p w:rsidR="00A60D4C" w:rsidRPr="00A60D4C" w:rsidRDefault="00A60D4C" w:rsidP="00A60D4C">
      <w:pPr>
        <w:pStyle w:val="ConsPlusNormal"/>
        <w:jc w:val="both"/>
      </w:pPr>
      <w:r w:rsidRPr="00A60D4C">
        <w:t>(</w:t>
      </w:r>
      <w:proofErr w:type="gramStart"/>
      <w:r w:rsidRPr="00A60D4C">
        <w:t>в</w:t>
      </w:r>
      <w:proofErr w:type="gramEnd"/>
      <w:r w:rsidRPr="00A60D4C">
        <w:t xml:space="preserve"> ред. </w:t>
      </w:r>
      <w:hyperlink r:id="rId9" w:history="1">
        <w:r w:rsidRPr="00A60D4C">
          <w:t>Решения</w:t>
        </w:r>
      </w:hyperlink>
      <w:r w:rsidRPr="00A60D4C">
        <w:t xml:space="preserve"> Городской Думы муниципального образования "Город Астрахань" от 28.11.2017 N 187)</w:t>
      </w:r>
    </w:p>
    <w:p w:rsidR="00A60D4C" w:rsidRPr="00A60D4C" w:rsidRDefault="00A60D4C" w:rsidP="00A60D4C">
      <w:pPr>
        <w:pStyle w:val="ConsPlusNormal"/>
        <w:ind w:firstLine="540"/>
        <w:jc w:val="both"/>
      </w:pPr>
    </w:p>
    <w:p w:rsidR="00A60D4C" w:rsidRPr="00A60D4C" w:rsidRDefault="00A60D4C" w:rsidP="00A60D4C">
      <w:pPr>
        <w:pStyle w:val="ConsPlusNormal"/>
        <w:jc w:val="center"/>
        <w:outlineLvl w:val="1"/>
      </w:pPr>
      <w:r w:rsidRPr="00A60D4C">
        <w:t>2. Налоговые ставки</w:t>
      </w:r>
    </w:p>
    <w:p w:rsidR="00A60D4C" w:rsidRPr="00A60D4C" w:rsidRDefault="00A60D4C" w:rsidP="00A60D4C">
      <w:pPr>
        <w:pStyle w:val="ConsPlusNormal"/>
        <w:ind w:left="540"/>
        <w:jc w:val="both"/>
      </w:pPr>
    </w:p>
    <w:p w:rsidR="00A60D4C" w:rsidRPr="00A60D4C" w:rsidRDefault="00A60D4C" w:rsidP="00A60D4C">
      <w:pPr>
        <w:pStyle w:val="ConsPlusNormal"/>
        <w:ind w:left="540"/>
        <w:jc w:val="both"/>
      </w:pPr>
      <w:r w:rsidRPr="00A60D4C">
        <w:t xml:space="preserve">2.1. Ставки налога на недвижимое имущество устанавливаются в зависимости от </w:t>
      </w:r>
      <w:bookmarkStart w:id="1" w:name="_GoBack"/>
      <w:bookmarkEnd w:id="1"/>
      <w:r w:rsidRPr="00A60D4C">
        <w:t>кадастровой стоимости объектов налогообложения в следующих размерах:</w:t>
      </w:r>
    </w:p>
    <w:p w:rsidR="00A60D4C" w:rsidRPr="00A60D4C" w:rsidRDefault="00A60D4C" w:rsidP="00A60D4C">
      <w:pPr>
        <w:pStyle w:val="ConsPlusNormal"/>
        <w:ind w:left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A60D4C" w:rsidRPr="00A60D4C" w:rsidTr="00594D24">
        <w:tc>
          <w:tcPr>
            <w:tcW w:w="7937" w:type="dxa"/>
          </w:tcPr>
          <w:p w:rsidR="00A60D4C" w:rsidRPr="00A60D4C" w:rsidRDefault="00A60D4C" w:rsidP="00594D24">
            <w:pPr>
              <w:pStyle w:val="ConsPlusNormal"/>
              <w:jc w:val="center"/>
            </w:pPr>
            <w:r w:rsidRPr="00A60D4C">
              <w:t>Объекты налогообложения</w:t>
            </w:r>
          </w:p>
        </w:tc>
        <w:tc>
          <w:tcPr>
            <w:tcW w:w="1134" w:type="dxa"/>
          </w:tcPr>
          <w:p w:rsidR="00A60D4C" w:rsidRPr="00A60D4C" w:rsidRDefault="00A60D4C" w:rsidP="00594D24">
            <w:pPr>
              <w:pStyle w:val="ConsPlusNormal"/>
              <w:jc w:val="center"/>
            </w:pPr>
            <w:r w:rsidRPr="00A60D4C">
              <w:t>Ставка налога</w:t>
            </w:r>
          </w:p>
        </w:tc>
      </w:tr>
      <w:tr w:rsidR="00A60D4C" w:rsidRPr="00A60D4C" w:rsidTr="00594D24">
        <w:tc>
          <w:tcPr>
            <w:tcW w:w="7937" w:type="dxa"/>
          </w:tcPr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жилые дома;</w:t>
            </w:r>
          </w:p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жилые помещения;</w:t>
            </w:r>
          </w:p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единые недвижимые комплексы, в состав которых входит хотя бы одно жилое помещение (жилой дом);</w:t>
            </w:r>
          </w:p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 xml:space="preserve">- гаражи и </w:t>
            </w:r>
            <w:proofErr w:type="spellStart"/>
            <w:r w:rsidRPr="00A60D4C">
              <w:t>машино</w:t>
            </w:r>
            <w:proofErr w:type="spellEnd"/>
            <w:r w:rsidRPr="00A60D4C">
              <w:t>-места;</w:t>
            </w:r>
          </w:p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134" w:type="dxa"/>
          </w:tcPr>
          <w:p w:rsidR="00A60D4C" w:rsidRPr="00A60D4C" w:rsidRDefault="00A60D4C" w:rsidP="00594D24">
            <w:pPr>
              <w:pStyle w:val="ConsPlusNormal"/>
              <w:jc w:val="center"/>
            </w:pPr>
            <w:r w:rsidRPr="00A60D4C">
              <w:t>0,3%</w:t>
            </w:r>
          </w:p>
        </w:tc>
      </w:tr>
      <w:tr w:rsidR="00A60D4C" w:rsidRPr="00A60D4C" w:rsidTr="00594D24">
        <w:tc>
          <w:tcPr>
            <w:tcW w:w="7937" w:type="dxa"/>
          </w:tcPr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 xml:space="preserve">- объекты налогообложения, включенные в перечень, определяемый в соответствии с </w:t>
            </w:r>
            <w:hyperlink r:id="rId10" w:history="1">
              <w:r w:rsidRPr="00A60D4C">
                <w:t>пунктом 7 статьи 378.2</w:t>
              </w:r>
            </w:hyperlink>
            <w:r w:rsidRPr="00A60D4C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1" w:history="1">
              <w:r w:rsidRPr="00A60D4C">
                <w:t>абзацем вторым пункта 10 статьи 378.2</w:t>
              </w:r>
            </w:hyperlink>
            <w:r w:rsidRPr="00A60D4C"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:rsidR="00A60D4C" w:rsidRPr="00A60D4C" w:rsidRDefault="00A60D4C" w:rsidP="00594D24">
            <w:pPr>
              <w:pStyle w:val="ConsPlusNormal"/>
              <w:jc w:val="center"/>
            </w:pPr>
            <w:r w:rsidRPr="00A60D4C">
              <w:t>2%</w:t>
            </w:r>
          </w:p>
        </w:tc>
      </w:tr>
      <w:tr w:rsidR="00A60D4C" w:rsidRPr="00A60D4C" w:rsidTr="00594D24">
        <w:tc>
          <w:tcPr>
            <w:tcW w:w="7937" w:type="dxa"/>
          </w:tcPr>
          <w:p w:rsidR="00A60D4C" w:rsidRPr="00A60D4C" w:rsidRDefault="00A60D4C" w:rsidP="00594D24">
            <w:pPr>
              <w:pStyle w:val="ConsPlusNormal"/>
              <w:jc w:val="both"/>
            </w:pPr>
            <w:r w:rsidRPr="00A60D4C">
              <w:t>- прочие объекты налогообложения</w:t>
            </w:r>
          </w:p>
        </w:tc>
        <w:tc>
          <w:tcPr>
            <w:tcW w:w="1134" w:type="dxa"/>
          </w:tcPr>
          <w:p w:rsidR="00A60D4C" w:rsidRPr="00A60D4C" w:rsidRDefault="00A60D4C" w:rsidP="00594D24">
            <w:pPr>
              <w:pStyle w:val="ConsPlusNormal"/>
              <w:jc w:val="center"/>
            </w:pPr>
            <w:r w:rsidRPr="00A60D4C">
              <w:t>0,5%</w:t>
            </w:r>
          </w:p>
        </w:tc>
      </w:tr>
    </w:tbl>
    <w:p w:rsidR="00A60D4C" w:rsidRDefault="00A60D4C" w:rsidP="00A60D4C">
      <w:pPr>
        <w:pStyle w:val="ConsPlusNormal"/>
        <w:jc w:val="both"/>
      </w:pPr>
    </w:p>
    <w:p w:rsidR="00EC79E4" w:rsidRDefault="00EC79E4"/>
    <w:sectPr w:rsidR="00EC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4C"/>
    <w:rsid w:val="00A60D4C"/>
    <w:rsid w:val="00E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C4A4BB6E862140BFE9DFFD31CC58EAE385CFCA373C6EEEB61D64A753D0CA24F1D93ED2F89E7jAr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8C4A4BB6E862140BFE83F2C5709881AE3B01F7A47FCBBDB13E8D17223406F50852CAAF6B87E7A178BC58j5r4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8C4A4BB6E862140BFE9DFFD31CC58EAE385CFCA373C6EEEB61D64A753D0CA24F1D93ED2F89E7jAr6L" TargetMode="External"/><Relationship Id="rId11" Type="http://schemas.openxmlformats.org/officeDocument/2006/relationships/hyperlink" Target="consultantplus://offline/ref=738C4A4BB6E862140BFE9DFFD31CC58EAE385CFCA373C6EEEB61D64A753D0CA24F1D93ED2E8EE0jAr9L" TargetMode="External"/><Relationship Id="rId5" Type="http://schemas.openxmlformats.org/officeDocument/2006/relationships/hyperlink" Target="consultantplus://offline/ref=738C4A4BB6E862140BFE83F2C5709881AE3B01F7A47FC5B9B73E8D17223406F50852CAAF6B87E7A178BC5Bj5r7L" TargetMode="External"/><Relationship Id="rId10" Type="http://schemas.openxmlformats.org/officeDocument/2006/relationships/hyperlink" Target="consultantplus://offline/ref=738C4A4BB6E862140BFE9DFFD31CC58EAE385CFCA373C6EEEB61D64A753D0CA24F1D93E52D8BjEr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8C4A4BB6E862140BFE83F2C5709881AE3B01F7A47FC5B9B73E8D17223406F50852CAAF6B87E7A178BC5Bj5r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2018-01-10T13:01:00Z</dcterms:created>
  <dcterms:modified xsi:type="dcterms:W3CDTF">2018-01-10T13:04:00Z</dcterms:modified>
</cp:coreProperties>
</file>