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</w:tblGrid>
      <w:tr w:rsidR="00202BF5" w:rsidRPr="00202BF5" w:rsidTr="00202BF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02BF5" w:rsidRPr="00202BF5" w:rsidRDefault="00202BF5" w:rsidP="00202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2BF5" w:rsidRPr="00202BF5" w:rsidRDefault="00202BF5" w:rsidP="00202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pStyle w:val="a5"/>
        <w:widowControl w:val="0"/>
        <w:jc w:val="left"/>
        <w:rPr>
          <w:rFonts w:cs="Times New Roman"/>
          <w:sz w:val="24"/>
          <w:szCs w:val="24"/>
        </w:rPr>
      </w:pPr>
    </w:p>
    <w:p w:rsidR="00202BF5" w:rsidRPr="00202BF5" w:rsidRDefault="00202BF5" w:rsidP="00202BF5">
      <w:pPr>
        <w:pStyle w:val="a5"/>
        <w:widowControl w:val="0"/>
        <w:rPr>
          <w:rFonts w:cs="Times New Roman"/>
          <w:sz w:val="24"/>
          <w:szCs w:val="24"/>
        </w:rPr>
      </w:pPr>
      <w:r w:rsidRPr="00202BF5">
        <w:rPr>
          <w:rFonts w:cs="Times New Roman"/>
          <w:sz w:val="24"/>
          <w:szCs w:val="24"/>
        </w:rPr>
        <w:t>Должностной регламент</w:t>
      </w:r>
    </w:p>
    <w:p w:rsidR="00202BF5" w:rsidRPr="00202BF5" w:rsidRDefault="00202BF5" w:rsidP="00202BF5">
      <w:pPr>
        <w:pStyle w:val="a5"/>
        <w:widowControl w:val="0"/>
        <w:rPr>
          <w:rFonts w:cs="Times New Roman"/>
          <w:sz w:val="24"/>
          <w:szCs w:val="24"/>
        </w:rPr>
      </w:pPr>
      <w:r w:rsidRPr="00202BF5">
        <w:rPr>
          <w:rFonts w:cs="Times New Roman"/>
          <w:sz w:val="24"/>
          <w:szCs w:val="24"/>
        </w:rPr>
        <w:t xml:space="preserve">главного государственного налогового инспектора аналитического отдела </w:t>
      </w:r>
    </w:p>
    <w:p w:rsidR="00202BF5" w:rsidRPr="00202BF5" w:rsidRDefault="00202BF5" w:rsidP="00202BF5">
      <w:pPr>
        <w:pStyle w:val="a5"/>
        <w:widowControl w:val="0"/>
        <w:rPr>
          <w:rFonts w:cs="Times New Roman"/>
          <w:sz w:val="24"/>
          <w:szCs w:val="24"/>
        </w:rPr>
      </w:pPr>
      <w:r w:rsidRPr="00202BF5">
        <w:rPr>
          <w:rFonts w:cs="Times New Roman"/>
          <w:sz w:val="24"/>
          <w:szCs w:val="24"/>
        </w:rPr>
        <w:t>Управления Федеральной налоговой службы по Астраханской области</w:t>
      </w:r>
    </w:p>
    <w:p w:rsidR="00202BF5" w:rsidRPr="00202BF5" w:rsidRDefault="00202BF5" w:rsidP="00202B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BF5" w:rsidRPr="00202BF5" w:rsidRDefault="00202BF5" w:rsidP="00202B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202BF5">
        <w:rPr>
          <w:rFonts w:ascii="Times New Roman" w:hAnsi="Times New Roman" w:cs="Times New Roman"/>
          <w:sz w:val="24"/>
          <w:szCs w:val="24"/>
        </w:rPr>
        <w:br/>
        <w:t>(далее – гражданская служба) главного государственного налогового инспектора аналитического отдела Управления Федеральной налоговой службы по Астраханской области относится к ведущей группе должностей гражданской службы категории «специалисты».</w:t>
      </w: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11-1-3-069.</w:t>
      </w: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аналитического отдела Управления Федеральной налоговой службы</w:t>
      </w:r>
      <w:proofErr w:type="gramEnd"/>
      <w:r w:rsidRPr="00202BF5">
        <w:rPr>
          <w:rFonts w:ascii="Times New Roman" w:hAnsi="Times New Roman" w:cs="Times New Roman"/>
          <w:sz w:val="24"/>
          <w:szCs w:val="24"/>
        </w:rPr>
        <w:t xml:space="preserve"> по Астраханской области: регулирование налоговой деятельности.</w:t>
      </w: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аналитического отдела Управления Федеральной налоговой службы</w:t>
      </w:r>
      <w:proofErr w:type="gramEnd"/>
      <w:r w:rsidRPr="00202BF5">
        <w:rPr>
          <w:rFonts w:ascii="Times New Roman" w:hAnsi="Times New Roman" w:cs="Times New Roman"/>
          <w:sz w:val="24"/>
          <w:szCs w:val="24"/>
        </w:rPr>
        <w:t xml:space="preserve"> по Астраханской области: 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</w:t>
      </w: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главного государственного налогового инспектора аналитического отдела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202BF5" w:rsidRPr="00202BF5" w:rsidRDefault="00202BF5" w:rsidP="00202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5. Главный государственный  налоговый инспектор аналитического отдела Управления Федеральной налоговой службы по Астраханской области непосредственно подчиняется начальнику аналитического отдела Управления Федеральной налоговой службы по Астраханской области.</w:t>
      </w:r>
    </w:p>
    <w:p w:rsidR="00202BF5" w:rsidRPr="00202BF5" w:rsidRDefault="00202BF5" w:rsidP="00202B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202BF5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должности главного государственного налогового инспектора аналитического отдела Управления Федеральной налоговой службы</w:t>
      </w:r>
      <w:proofErr w:type="gramEnd"/>
      <w:r w:rsidRPr="00202BF5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202BF5">
        <w:rPr>
          <w:rFonts w:ascii="Times New Roman" w:hAnsi="Times New Roman" w:cs="Times New Roman"/>
          <w:spacing w:val="-2"/>
          <w:sz w:val="24"/>
          <w:szCs w:val="24"/>
        </w:rPr>
        <w:t>6.2.</w:t>
      </w:r>
      <w:r w:rsidRPr="00202BF5">
        <w:rPr>
          <w:rFonts w:ascii="Times New Roman" w:hAnsi="Times New Roman" w:cs="Times New Roman"/>
          <w:sz w:val="24"/>
          <w:szCs w:val="24"/>
        </w:rPr>
        <w:t> </w:t>
      </w:r>
      <w:r w:rsidRPr="00202BF5">
        <w:rPr>
          <w:rFonts w:ascii="Times New Roman" w:hAnsi="Times New Roman" w:cs="Times New Roman"/>
          <w:spacing w:val="-2"/>
          <w:sz w:val="24"/>
          <w:szCs w:val="24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202BF5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2BF5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202BF5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202BF5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202BF5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202BF5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202BF5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BF5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202BF5" w:rsidRPr="00202BF5" w:rsidRDefault="00202BF5" w:rsidP="00202BF5">
      <w:pPr>
        <w:widowControl w:val="0"/>
        <w:tabs>
          <w:tab w:val="left" w:pos="3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«Налоговый кодекс Российской Федерации» от 31.07.1998 N 146-ФЗ (ред. от 18.07.2017), от 05.08.2000 N 117-ФЗ (ред. от 29.07.2017);</w:t>
      </w:r>
    </w:p>
    <w:p w:rsidR="00202BF5" w:rsidRPr="00202BF5" w:rsidRDefault="00202BF5" w:rsidP="00202BF5">
      <w:pPr>
        <w:widowControl w:val="0"/>
        <w:tabs>
          <w:tab w:val="left" w:pos="3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«Бюджетный кодекс РФ» от 31.07.1998 N 145-ФЗ (ред. от 30.09.2017);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«Гражданский кодекс РФ» от 30 ноября 1994 г. № 51-ФЗ;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19.12.2016 N 415-ФЗ (ред. от 01.07.2017) «О федеральном бюджете на 2017 год и на плановый период 2018 и 2019 годов»;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19.12.2016 N 416-ФЗ «О бюджете Пенсионного фонда РФ на 2017 год и на плановый период 2018 и 2019 годов»;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19.12.2016 N 417-ФЗ «О бюджете Фонда социального страхования РФ на 2017 год и на плановый период 2018 и 2019 годов»;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19.12.2016 N 418-ФЗ «О бюджете Федерального фонда обязательного медицинского страхования на 2017 год и на плановый период 2018 и 2019 годов»;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от 27 июля 2006 г. № 149-ФЗ «Об информации, информационных технологиях и о защите информации»;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14 ноября 2015 г. №1234                                 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Федерации»;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12.08.2004 N 410 (ред. от 26.05.2015) «О порядке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Минфина России от 29 июля 2016 г. № 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</w: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обоснований прогноза поступления доходов федерального бюджета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23.08.2017 № ММВ-7-1/645@ «Об утверждении Методики прогнозирования поступлений доходов в консолидированный бюджет РФ на очередной финансовый год и плановый период»;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29.12.2016 N ММВ-7-1/734@ (ред. от 17.05.2017)                                        «Об осуществлении бюджетных </w:t>
      </w: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главного администратора доходов бюджетов государственных внебюджетных фондов РФ Федеральной налоговой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службой, администраторов доходов бюджетов государственных внебюджетных фондов РФ территориальными органами федеральной налоговой службы»;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29.12.2016 N ММВ-7-1/735@ (ред. от 15.08.2017)                                        «Об осуществлении бюджетных полномочий главного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службы»;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ФНС России от 29.12.2016 N ММВ-7-1/736@ (ред. от 03.04.2017)                                         «Об осуществлении бюджетных </w:t>
      </w: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главных администраторов доходов бюджетов субъектов РФ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местных бюджетов управлениями Федеральной налоговой службы по субъектам РФ»; 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Астраханской области от 07.07.2008 N 39/2008-ОЗ (ред. от 05.09.2017)                                   «О бюджетном процессе в Астраханской области» (принят Государственной Думой Астраханской области 24.06.2008)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Астраханской области от 26.12.2016 N 86/2016-ОЗ (ред. от 25.09.2017) «О бюджете Астраханской области на 2017 год и на плановый период 2018 и 2019 годов» (принят Думой Астраханской области 22.12.2016);</w:t>
      </w:r>
    </w:p>
    <w:p w:rsidR="00202BF5" w:rsidRPr="00202BF5" w:rsidRDefault="00202BF5" w:rsidP="00202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Астраханской области от 19.12.2013 N 77/2013-ОЗ (ред. от 26.12.2016) «О нормативах отчислений от федеральных налогов, налогов, предусмотренных специальными налоговыми режимами, в местные бюджеты» (принят Думой Астраханской области 10.12.2013).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аналитического отдела 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</w:t>
      </w:r>
      <w:r w:rsidRPr="00202BF5">
        <w:rPr>
          <w:rFonts w:ascii="Times New Roman" w:hAnsi="Times New Roman" w:cs="Times New Roman"/>
          <w:sz w:val="24"/>
          <w:szCs w:val="24"/>
        </w:rPr>
        <w:lastRenderedPageBreak/>
        <w:t xml:space="preserve">видом его профессиональной служебной деятельности.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6.4.2. Иные профессиональные знания: принципы формирования статистической налоговой отчетности; порядок применения бюджетной классификации Российской Федерации, основные направления и приоритеты государственной политики в области прогнозирования доходов федерального бюджета, основы макроэкономической, бюджетной, долговой, налоговой, денежно-кредитной политики Российской Федерации; основные направления и приоритеты государственной политики в области долгосрочного развития экономики.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2BF5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налогообложения. 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202BF5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202BF5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6.7. Наличие профессиональных умений: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уточнение среднеотраслевых индикаторов, характеризующих эффективный уровень уплаты налогов налогоплательщиками;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форм квитанций, подтверждающих прием сре</w:t>
      </w: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уплаты налогов, выдаваемых местной администрацией налогоплательщикам (налоговым агентам);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применения законодательства Российской Федерации о налогах и сборах;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202BF5" w:rsidRPr="00202BF5" w:rsidRDefault="00202BF5" w:rsidP="00202B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6.8. Наличие функциональных умений</w:t>
      </w:r>
      <w:r w:rsidRPr="00202BF5">
        <w:rPr>
          <w:rFonts w:ascii="Times New Roman" w:hAnsi="Times New Roman" w:cs="Times New Roman"/>
          <w:color w:val="000000" w:themeColor="text1"/>
          <w:sz w:val="24"/>
          <w:szCs w:val="24"/>
        </w:rPr>
        <w:t>: использование материалов, поступающих в аналитический отдел из других подразделений Управления, а также внешних источников, в том числе Правительства Астраханской области, Думы Астраханской области, муниципальных образований по направлению деятельности; анализ поступающей информации, подготовка и составление исходящей информации.</w:t>
      </w:r>
    </w:p>
    <w:p w:rsidR="00202BF5" w:rsidRPr="00202BF5" w:rsidRDefault="00202BF5" w:rsidP="00202B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главного государственного налогового инспектора аналитического отдела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202BF5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8. В целях реализации задач и функций, возложенных на аналитический отдел, главный государственный налоговый инспектор аналитического отдела обязан: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поступки, порочащие честь и достоинство государственного служащего;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Приказ ФНС России от 29.12.2016 N ММВ-7-1/734@ (ред. от 17.05.2017)                «Об осуществлении бюджетных </w:t>
      </w: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главного администратора доходов бюджетов государственных внебюджетных фондов РФ Федеральной налоговой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службой, администраторов доходов бюджетов государственных внебюджетных фондов РФ территориальными органами федеральной налоговой службы», обеспечить контроль за его исполнением;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разъяснения Межрайонным инспекциям ФНС России по Астраханской области и ИФНС России по Кировскому району г. Астрахани по направлению деятельности;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ФНС России, Межрегиональной ИФНС по ЮФО по вопросам, отнесенным к компетенции отдела;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руководству УФНС по Астраханской области по направлению деятельности, а также готовить на их основе предложения, обзоры;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мониторинги выполнения территориальными налоговыми органами плановых заданий по направлениям деятельности;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взаимодействие налоговых органов с Министерством финансов Астраханской области, Министерством экономического развития Астраханской области, </w:t>
      </w:r>
      <w:proofErr w:type="spell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Астраханьстатом</w:t>
      </w:r>
      <w:proofErr w:type="spell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ведомствами по направлению деятельности;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 необходимых случаях участие в рассмотрении заявлений и жалоб юридических лиц и граждан по направлению деятельности отдела;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другими подразделениями Управления в целях реализации поставленных задач;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подготовке материалов руководству для совещаний различных уровней, вносить предложения по вопросам, относящимся к компетенции отдела;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обучении работников налоговых органов, участвовать в проведении совещаний-семинаров с работниками нижестоящих налоговых органов по вопросам компетенции отдела;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при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внутреннего контроля в соответствии с Приказом УФНС России по Астраханской области  от 25.01.2017 № 01-04/021@;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и поддерживать в актуальном состоянии документы внутреннего контроля (Карты ВК, Журнал учета результатов ВК) с учетом изменений законодательства, поручений ФНС России и выявленных рисков по результатам проведенных мероприятий внутреннего контроля;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сборе, обработке и формировании информации по формам оперативной и закрепленной отчетности, и передаче ее в ФНС России;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нижестоящими налоговыми органами с органами государственной власти Астраханской области и местного самоуправления в части представления и передачи информации, необходимой для выполнения задач по направлению деятельности;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доходов, администрируемых налоговыми органами, в бюджетную систему Российской Федерации и внебюджетные фонды;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проведении мониторинга и анализа исполнения доходных частей бюджетов по уровням бюджетной системы Российской Федерации и государственных внебюджетных фондов;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оценке поступлений доходов, администрируемых налоговыми органами, в бюджетную систему Российской Федерации и внебюджетные фонды на текущий год, среднесрочный и долгосрочный периоды;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проведении  налогового мониторинга и анализа показателей поступления  доходов по секторам экономики и видам экономической деятельности в увязке с показателями их развития, по анализу адекватности уплаты налогов и сборов результатам финансово-хозяйственной деятельности налогоплательщиков;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подготовке аналитических записок и таблиц в ФНС России и руководству Управления;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 подготавливать в установленном порядке ответы на письма и запросы налоговых органов, министерств и ведомств, предприятий, организаций, учреждений, граждан по вопросам, входящим в компетенцию отдела;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служебный распорядок и исполнительскую дисциплину;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иные поручения начальника  аналитического отдела, а также руководителя и заместителей руководителя Управления по направлению деятельности. 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главный государственный налоговый инспектор аналитического отдела Управления Федеральной налоговой службы по Астраханской области имеет право: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начальнику отдела предложения по улучшению работы по закрепленным направлениям деятельности;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начальника отдела представительствовать в различных организациях, в том числе министерствах, ведомствах, комитетах по вопросам, вытекающим из задач и функций, определенных настоящим должностным регламентом;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202BF5" w:rsidRPr="00202BF5" w:rsidRDefault="00202BF5" w:rsidP="00202BF5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аналитического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02BF5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аналитическом отделе УФНС России по Астраханской области.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11. Главный государственный налоговый инспектор аналитического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02BF5" w:rsidRPr="00202BF5" w:rsidRDefault="00202BF5" w:rsidP="00202BF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Calibri" w:hAnsi="Times New Roman" w:cs="Times New Roman"/>
          <w:bCs/>
          <w:sz w:val="24"/>
          <w:szCs w:val="24"/>
        </w:rPr>
        <w:tab/>
        <w:t>Кроме того, главный государственный налоговый инспектор аналитического отдела несет ответственность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202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202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 и функциями аналитического отдела, функциональными особенностями замещаемой должности гражданской службы: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202BF5" w:rsidRPr="00202BF5" w:rsidRDefault="00202BF5" w:rsidP="00202B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BF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02BF5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202BF5" w:rsidRPr="00202BF5" w:rsidRDefault="00202BF5" w:rsidP="00202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202BF5">
        <w:rPr>
          <w:rFonts w:ascii="Times New Roman" w:hAnsi="Times New Roman" w:cs="Times New Roman"/>
          <w:sz w:val="24"/>
          <w:szCs w:val="24"/>
        </w:rPr>
        <w:t xml:space="preserve"> </w:t>
      </w:r>
      <w:r w:rsidRPr="00202BF5">
        <w:rPr>
          <w:rFonts w:ascii="Times New Roman" w:hAnsi="Times New Roman" w:cs="Times New Roman"/>
          <w:b/>
          <w:sz w:val="24"/>
          <w:szCs w:val="24"/>
        </w:rPr>
        <w:t>главный государственный налоговый инспектор аналитического отдела вправе или обязан самостоятельно принимать управленческие и иные решения</w:t>
      </w: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BF5" w:rsidRPr="00202BF5" w:rsidRDefault="00202BF5" w:rsidP="00202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главный государственный налоговый инспектор аналитического отдела Управления Федеральной налоговой службы по Астраханской области вправе самостоятельно принимать решения по вопросам: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аудиторских проверок внутреннего аудита подведомственных налоговых органов по вопросу организации работы по анализу и прогнозированию;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возложенных на него настоящим должностным регламентом задач и функций;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заданий и поручений начальника отдела.</w:t>
      </w:r>
    </w:p>
    <w:p w:rsidR="00202BF5" w:rsidRPr="00202BF5" w:rsidRDefault="00202BF5" w:rsidP="00202BF5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главный государственный налоговый инспектор аналитического отдела обязан самостоятельно принимать решения по вопросам: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об УФНС России по Астраханской области, об аналитическом отделе УФНС России по Астраханской области, иными нормативными актами.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202BF5">
        <w:rPr>
          <w:rFonts w:ascii="Times New Roman" w:hAnsi="Times New Roman" w:cs="Times New Roman"/>
          <w:sz w:val="24"/>
          <w:szCs w:val="24"/>
        </w:rPr>
        <w:t xml:space="preserve"> </w:t>
      </w:r>
      <w:r w:rsidRPr="00202BF5">
        <w:rPr>
          <w:rFonts w:ascii="Times New Roman" w:hAnsi="Times New Roman" w:cs="Times New Roman"/>
          <w:b/>
          <w:sz w:val="24"/>
          <w:szCs w:val="24"/>
        </w:rPr>
        <w:t>главный государственный налоговый инспектор аналитического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аналитического отдела</w:t>
      </w:r>
      <w:r w:rsidRPr="00202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BF5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202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BF5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202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202BF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02BF5" w:rsidRPr="00202BF5" w:rsidRDefault="00202BF5" w:rsidP="00202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аналитического отдела в соответствии со своей компетенцией обязан участвовать в подготовке (обсуждении) следующих проектов: 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202BF5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главный государственный налоговый инспектор аналитического отдела Управления Федеральной налоговой службы по Астраханской области</w:t>
      </w:r>
      <w:r w:rsidRPr="00202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BF5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02BF5" w:rsidRPr="00202BF5" w:rsidRDefault="00202BF5" w:rsidP="00202BF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lastRenderedPageBreak/>
        <w:t>VII. Порядок служебного взаимодействия</w:t>
      </w:r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Взаимодействие главного государственного налогового инспектора аналитического отдела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</w:t>
      </w:r>
      <w:proofErr w:type="gramEnd"/>
      <w:r w:rsidRPr="00202BF5">
        <w:rPr>
          <w:rFonts w:ascii="Times New Roman" w:hAnsi="Times New Roman" w:cs="Times New Roman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hAnsi="Times New Roman" w:cs="Times New Roman"/>
          <w:sz w:val="24"/>
          <w:szCs w:val="24"/>
        </w:rPr>
        <w:t>18. Главный государственный налоговый инспектор аналитического отдела Управления Федеральной налоговой службы по Астраханской области</w:t>
      </w: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деятельности. </w:t>
      </w: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202BF5" w:rsidRPr="00202BF5" w:rsidRDefault="00202BF5" w:rsidP="00202B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F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BF5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202BF5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аналитического отдела Управления Федеральной налоговой службы</w:t>
      </w:r>
      <w:proofErr w:type="gramEnd"/>
      <w:r w:rsidRPr="00202BF5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</w:t>
      </w:r>
      <w:bookmarkStart w:id="0" w:name="_GoBack"/>
      <w:r w:rsidRPr="00202BF5">
        <w:rPr>
          <w:rFonts w:ascii="Times New Roman" w:hAnsi="Times New Roman" w:cs="Times New Roman"/>
          <w:sz w:val="24"/>
          <w:szCs w:val="24"/>
        </w:rPr>
        <w:t>показателям</w:t>
      </w:r>
      <w:r w:rsidRPr="00202BF5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02BF5">
        <w:rPr>
          <w:rFonts w:ascii="Times New Roman" w:hAnsi="Times New Roman" w:cs="Times New Roman"/>
          <w:sz w:val="24"/>
          <w:szCs w:val="24"/>
        </w:rPr>
        <w:t>: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выполняемому </w:t>
      </w:r>
      <w:bookmarkEnd w:id="0"/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02BF5" w:rsidRPr="00202BF5" w:rsidRDefault="00202BF5" w:rsidP="00202BF5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2BF5" w:rsidRPr="00202BF5" w:rsidRDefault="00202BF5" w:rsidP="00202B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2BF5" w:rsidRPr="00202BF5" w:rsidSect="00202BF5">
      <w:headerReference w:type="default" r:id="rId8"/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F5" w:rsidRDefault="00202BF5" w:rsidP="00202BF5">
      <w:pPr>
        <w:spacing w:after="0" w:line="240" w:lineRule="auto"/>
      </w:pPr>
      <w:r>
        <w:separator/>
      </w:r>
    </w:p>
  </w:endnote>
  <w:endnote w:type="continuationSeparator" w:id="0">
    <w:p w:rsidR="00202BF5" w:rsidRDefault="00202BF5" w:rsidP="0020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F5" w:rsidRDefault="00202BF5" w:rsidP="00202BF5">
      <w:pPr>
        <w:spacing w:after="0" w:line="240" w:lineRule="auto"/>
      </w:pPr>
      <w:r>
        <w:separator/>
      </w:r>
    </w:p>
  </w:footnote>
  <w:footnote w:type="continuationSeparator" w:id="0">
    <w:p w:rsidR="00202BF5" w:rsidRDefault="00202BF5" w:rsidP="00202BF5">
      <w:pPr>
        <w:spacing w:after="0" w:line="240" w:lineRule="auto"/>
      </w:pPr>
      <w:r>
        <w:continuationSeparator/>
      </w:r>
    </w:p>
  </w:footnote>
  <w:footnote w:id="1">
    <w:p w:rsidR="00202BF5" w:rsidRPr="00AF4BFF" w:rsidRDefault="00202BF5" w:rsidP="00202BF5">
      <w:pPr>
        <w:pStyle w:val="a7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202BF5">
        <w:pPr>
          <w:pStyle w:val="a9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202BF5">
    <w:pPr>
      <w:pStyle w:val="a9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760"/>
    <w:multiLevelType w:val="hybridMultilevel"/>
    <w:tmpl w:val="DF5690C2"/>
    <w:lvl w:ilvl="0" w:tplc="02B4F0CE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F5"/>
    <w:rsid w:val="00202BF5"/>
    <w:rsid w:val="008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02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202BF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02BF5"/>
    <w:rPr>
      <w:sz w:val="20"/>
      <w:szCs w:val="20"/>
    </w:rPr>
  </w:style>
  <w:style w:type="paragraph" w:customStyle="1" w:styleId="ConsPlusNormal">
    <w:name w:val="ConsPlusNormal"/>
    <w:rsid w:val="0020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202BF5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6">
    <w:name w:val="footnote reference"/>
    <w:basedOn w:val="a0"/>
    <w:uiPriority w:val="99"/>
    <w:semiHidden/>
    <w:unhideWhenUsed/>
    <w:rsid w:val="00202BF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2BF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2BF5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0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BF5"/>
  </w:style>
  <w:style w:type="character" w:customStyle="1" w:styleId="10">
    <w:name w:val="Заголовок 1 Знак"/>
    <w:basedOn w:val="a0"/>
    <w:link w:val="1"/>
    <w:uiPriority w:val="9"/>
    <w:rsid w:val="0020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202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02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202BF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02BF5"/>
    <w:rPr>
      <w:sz w:val="20"/>
      <w:szCs w:val="20"/>
    </w:rPr>
  </w:style>
  <w:style w:type="paragraph" w:customStyle="1" w:styleId="ConsPlusNormal">
    <w:name w:val="ConsPlusNormal"/>
    <w:rsid w:val="0020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202BF5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6">
    <w:name w:val="footnote reference"/>
    <w:basedOn w:val="a0"/>
    <w:uiPriority w:val="99"/>
    <w:semiHidden/>
    <w:unhideWhenUsed/>
    <w:rsid w:val="00202BF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2BF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2BF5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0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BF5"/>
  </w:style>
  <w:style w:type="character" w:customStyle="1" w:styleId="10">
    <w:name w:val="Заголовок 1 Знак"/>
    <w:basedOn w:val="a0"/>
    <w:link w:val="1"/>
    <w:uiPriority w:val="9"/>
    <w:rsid w:val="0020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20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4035</Words>
  <Characters>23004</Characters>
  <Application>Microsoft Office Word</Application>
  <DocSecurity>0</DocSecurity>
  <Lines>191</Lines>
  <Paragraphs>53</Paragraphs>
  <ScaleCrop>false</ScaleCrop>
  <Company/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2018-04-16T12:12:00Z</dcterms:created>
  <dcterms:modified xsi:type="dcterms:W3CDTF">2018-04-16T12:17:00Z</dcterms:modified>
</cp:coreProperties>
</file>