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EB" w:rsidRDefault="00355D0E">
      <w:r>
        <w:rPr>
          <w:noProof/>
          <w:sz w:val="27"/>
          <w:szCs w:val="27"/>
          <w:lang w:eastAsia="ru-RU"/>
        </w:rPr>
        <w:drawing>
          <wp:inline distT="0" distB="0" distL="0" distR="0">
            <wp:extent cx="5940425" cy="3585492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6C5DEB" w:rsidSect="006C5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 w:grammar="clean"/>
  <w:defaultTabStop w:val="708"/>
  <w:characterSpacingControl w:val="doNotCompress"/>
  <w:compat/>
  <w:rsids>
    <w:rsidRoot w:val="00355D0E"/>
    <w:rsid w:val="00093099"/>
    <w:rsid w:val="00355D0E"/>
    <w:rsid w:val="003C2540"/>
    <w:rsid w:val="006C5DEB"/>
    <w:rsid w:val="00E8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D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49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Соотношение обращений граждан по тематике в августе 2016 года</a:t>
            </a:r>
          </a:p>
        </c:rich>
      </c:tx>
      <c:layout>
        <c:manualLayout>
          <c:xMode val="edge"/>
          <c:yMode val="edge"/>
          <c:x val="0.16174183514774498"/>
          <c:y val="0"/>
        </c:manualLayout>
      </c:layout>
      <c:spPr>
        <a:noFill/>
        <a:ln w="25387">
          <a:noFill/>
        </a:ln>
      </c:spPr>
    </c:title>
    <c:view3D>
      <c:perspective val="0"/>
    </c:view3D>
    <c:plotArea>
      <c:layout>
        <c:manualLayout>
          <c:layoutTarget val="inner"/>
          <c:xMode val="edge"/>
          <c:yMode val="edge"/>
          <c:x val="0.40124416796267504"/>
          <c:y val="0.125"/>
          <c:w val="0.22395023328149302"/>
          <c:h val="0.14843750000000003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>
            <a:solidFill>
              <a:srgbClr val="9999FF"/>
            </a:solidFill>
            <a:ln w="12694">
              <a:solidFill>
                <a:srgbClr val="000000"/>
              </a:solidFill>
              <a:prstDash val="solid"/>
            </a:ln>
          </c:spPr>
          <c:explosion val="9"/>
          <c:dPt>
            <c:idx val="1"/>
            <c:spPr>
              <a:solidFill>
                <a:srgbClr val="993366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FFFF00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87">
                <a:noFill/>
              </a:ln>
            </c:spPr>
            <c:txPr>
              <a:bodyPr/>
              <a:lstStyle/>
              <a:p>
                <a:pPr>
                  <a:defRPr sz="10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Sheet1!$A$2:$A$13</c:f>
              <c:strCache>
                <c:ptCount val="12"/>
                <c:pt idx="0">
                  <c:v>Зачет и возврат излишне уплаченных или излишне взысканных сумм налогов, пеней, штрафов</c:v>
                </c:pt>
                <c:pt idx="1">
                  <c:v>Уклонение от налогообложения</c:v>
                </c:pt>
                <c:pt idx="2">
                  <c:v>Налог на доходы физических лиц</c:v>
                </c:pt>
                <c:pt idx="3">
                  <c:v>Обжалование решений государственных органов и должностных лиц</c:v>
                </c:pt>
                <c:pt idx="4">
                  <c:v>Земельный налог</c:v>
                </c:pt>
                <c:pt idx="5">
                  <c:v>Организация работы с налогоплательщиками</c:v>
                </c:pt>
                <c:pt idx="6">
                  <c:v>Налог на имущество</c:v>
                </c:pt>
                <c:pt idx="7">
                  <c:v>Государственная регистрация юридических лиц</c:v>
                </c:pt>
                <c:pt idx="8">
                  <c:v>Задолженность по налогам и сборам</c:v>
                </c:pt>
                <c:pt idx="9">
                  <c:v>Транспортный налог</c:v>
                </c:pt>
                <c:pt idx="10">
                  <c:v>Получение и отказ от ИНН</c:v>
                </c:pt>
                <c:pt idx="11">
                  <c:v>По другим вопросам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3</c:v>
                </c:pt>
                <c:pt idx="1">
                  <c:v>13</c:v>
                </c:pt>
                <c:pt idx="2">
                  <c:v>6</c:v>
                </c:pt>
                <c:pt idx="3">
                  <c:v>19</c:v>
                </c:pt>
                <c:pt idx="4">
                  <c:v>12</c:v>
                </c:pt>
                <c:pt idx="5">
                  <c:v>7</c:v>
                </c:pt>
                <c:pt idx="6">
                  <c:v>8</c:v>
                </c:pt>
                <c:pt idx="7">
                  <c:v>3</c:v>
                </c:pt>
                <c:pt idx="8">
                  <c:v>8</c:v>
                </c:pt>
                <c:pt idx="9">
                  <c:v>5</c:v>
                </c:pt>
                <c:pt idx="10">
                  <c:v>5</c:v>
                </c:pt>
                <c:pt idx="11">
                  <c:v>12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rgbClr val="993366"/>
            </a:solidFill>
            <a:ln w="12694">
              <a:solidFill>
                <a:srgbClr val="000000"/>
              </a:solidFill>
              <a:prstDash val="solid"/>
            </a:ln>
          </c:spPr>
          <c:explosion val="9"/>
          <c:dPt>
            <c:idx val="0"/>
            <c:spPr>
              <a:solidFill>
                <a:srgbClr val="9999FF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FFFF00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87">
                <a:noFill/>
              </a:ln>
            </c:spPr>
            <c:txPr>
              <a:bodyPr/>
              <a:lstStyle/>
              <a:p>
                <a:pPr>
                  <a:defRPr sz="16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Sheet1!$A$2:$A$13</c:f>
              <c:strCache>
                <c:ptCount val="12"/>
                <c:pt idx="0">
                  <c:v>Зачет и возврат излишне уплаченных или излишне взысканных сумм налогов, пеней, штрафов</c:v>
                </c:pt>
                <c:pt idx="1">
                  <c:v>Уклонение от налогообложения</c:v>
                </c:pt>
                <c:pt idx="2">
                  <c:v>Налог на доходы физических лиц</c:v>
                </c:pt>
                <c:pt idx="3">
                  <c:v>Обжалование решений государственных органов и должностных лиц</c:v>
                </c:pt>
                <c:pt idx="4">
                  <c:v>Земельный налог</c:v>
                </c:pt>
                <c:pt idx="5">
                  <c:v>Организация работы с налогоплательщиками</c:v>
                </c:pt>
                <c:pt idx="6">
                  <c:v>Налог на имущество</c:v>
                </c:pt>
                <c:pt idx="7">
                  <c:v>Государственная регистрация юридических лиц</c:v>
                </c:pt>
                <c:pt idx="8">
                  <c:v>Задолженность по налогам и сборам</c:v>
                </c:pt>
                <c:pt idx="9">
                  <c:v>Транспортный налог</c:v>
                </c:pt>
                <c:pt idx="10">
                  <c:v>Получение и отказ от ИНН</c:v>
                </c:pt>
                <c:pt idx="11">
                  <c:v>По другим вопросам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27.4</c:v>
                </c:pt>
                <c:pt idx="1">
                  <c:v>38.6</c:v>
                </c:pt>
                <c:pt idx="2">
                  <c:v>46.9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>
            <a:solidFill>
              <a:srgbClr val="FFFFCC"/>
            </a:solidFill>
            <a:ln w="12694">
              <a:solidFill>
                <a:srgbClr val="000000"/>
              </a:solidFill>
              <a:prstDash val="solid"/>
            </a:ln>
          </c:spPr>
          <c:explosion val="9"/>
          <c:dPt>
            <c:idx val="0"/>
            <c:spPr>
              <a:solidFill>
                <a:srgbClr val="9999FF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FFFF00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87">
                <a:noFill/>
              </a:ln>
            </c:spPr>
            <c:txPr>
              <a:bodyPr/>
              <a:lstStyle/>
              <a:p>
                <a:pPr>
                  <a:defRPr sz="16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Sheet1!$A$2:$A$13</c:f>
              <c:strCache>
                <c:ptCount val="12"/>
                <c:pt idx="0">
                  <c:v>Зачет и возврат излишне уплаченных или излишне взысканных сумм налогов, пеней, штрафов</c:v>
                </c:pt>
                <c:pt idx="1">
                  <c:v>Уклонение от налогообложения</c:v>
                </c:pt>
                <c:pt idx="2">
                  <c:v>Налог на доходы физических лиц</c:v>
                </c:pt>
                <c:pt idx="3">
                  <c:v>Обжалование решений государственных органов и должностных лиц</c:v>
                </c:pt>
                <c:pt idx="4">
                  <c:v>Земельный налог</c:v>
                </c:pt>
                <c:pt idx="5">
                  <c:v>Организация работы с налогоплательщиками</c:v>
                </c:pt>
                <c:pt idx="6">
                  <c:v>Налог на имущество</c:v>
                </c:pt>
                <c:pt idx="7">
                  <c:v>Государственная регистрация юридических лиц</c:v>
                </c:pt>
                <c:pt idx="8">
                  <c:v>Задолженность по налогам и сборам</c:v>
                </c:pt>
                <c:pt idx="9">
                  <c:v>Транспортный налог</c:v>
                </c:pt>
                <c:pt idx="10">
                  <c:v>Получение и отказ от ИНН</c:v>
                </c:pt>
                <c:pt idx="11">
                  <c:v>По другим вопросам</c:v>
                </c:pt>
              </c:strCache>
            </c:strRef>
          </c:cat>
          <c:val>
            <c:numRef>
              <c:f>Sheet1!$D$2:$D$13</c:f>
              <c:numCache>
                <c:formatCode>General</c:formatCode>
                <c:ptCount val="12"/>
                <c:pt idx="0">
                  <c:v>90</c:v>
                </c:pt>
                <c:pt idx="1">
                  <c:v>34.6</c:v>
                </c:pt>
                <c:pt idx="2">
                  <c:v>45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</c:strCache>
            </c:strRef>
          </c:tx>
          <c:spPr>
            <a:solidFill>
              <a:srgbClr val="CCFFFF"/>
            </a:solidFill>
            <a:ln w="12694">
              <a:solidFill>
                <a:srgbClr val="000000"/>
              </a:solidFill>
              <a:prstDash val="solid"/>
            </a:ln>
          </c:spPr>
          <c:explosion val="9"/>
          <c:dPt>
            <c:idx val="0"/>
            <c:spPr>
              <a:solidFill>
                <a:srgbClr val="9999FF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FFFF00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694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87">
                <a:noFill/>
              </a:ln>
            </c:spPr>
            <c:txPr>
              <a:bodyPr/>
              <a:lstStyle/>
              <a:p>
                <a:pPr>
                  <a:defRPr sz="16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Sheet1!$A$2:$A$13</c:f>
              <c:strCache>
                <c:ptCount val="12"/>
                <c:pt idx="0">
                  <c:v>Зачет и возврат излишне уплаченных или излишне взысканных сумм налогов, пеней, штрафов</c:v>
                </c:pt>
                <c:pt idx="1">
                  <c:v>Уклонение от налогообложения</c:v>
                </c:pt>
                <c:pt idx="2">
                  <c:v>Налог на доходы физических лиц</c:v>
                </c:pt>
                <c:pt idx="3">
                  <c:v>Обжалование решений государственных органов и должностных лиц</c:v>
                </c:pt>
                <c:pt idx="4">
                  <c:v>Земельный налог</c:v>
                </c:pt>
                <c:pt idx="5">
                  <c:v>Организация работы с налогоплательщиками</c:v>
                </c:pt>
                <c:pt idx="6">
                  <c:v>Налог на имущество</c:v>
                </c:pt>
                <c:pt idx="7">
                  <c:v>Государственная регистрация юридических лиц</c:v>
                </c:pt>
                <c:pt idx="8">
                  <c:v>Задолженность по налогам и сборам</c:v>
                </c:pt>
                <c:pt idx="9">
                  <c:v>Транспортный налог</c:v>
                </c:pt>
                <c:pt idx="10">
                  <c:v>Получение и отказ от ИНН</c:v>
                </c:pt>
                <c:pt idx="11">
                  <c:v>По другим вопросам</c:v>
                </c:pt>
              </c:strCache>
            </c:strRef>
          </c:cat>
          <c:val>
            <c:numRef>
              <c:f>Sheet1!$E$2:$E$13</c:f>
              <c:numCache>
                <c:formatCode>General</c:formatCode>
                <c:ptCount val="12"/>
                <c:pt idx="0">
                  <c:v>20.399999999999999</c:v>
                </c:pt>
                <c:pt idx="1">
                  <c:v>31.6</c:v>
                </c:pt>
                <c:pt idx="2">
                  <c:v>43.9</c:v>
                </c:pt>
              </c:numCache>
            </c:numRef>
          </c:val>
        </c:ser>
        <c:dLbls>
          <c:showPercent val="1"/>
        </c:dLbls>
      </c:pie3DChart>
      <c:spPr>
        <a:solidFill>
          <a:srgbClr val="FFFFFF"/>
        </a:solidFill>
        <a:ln w="25387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92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92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92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92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4"/>
        <c:txPr>
          <a:bodyPr/>
          <a:lstStyle/>
          <a:p>
            <a:pPr>
              <a:defRPr sz="92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5"/>
        <c:txPr>
          <a:bodyPr/>
          <a:lstStyle/>
          <a:p>
            <a:pPr>
              <a:defRPr sz="92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6"/>
        <c:txPr>
          <a:bodyPr/>
          <a:lstStyle/>
          <a:p>
            <a:pPr>
              <a:defRPr sz="92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7"/>
        <c:txPr>
          <a:bodyPr/>
          <a:lstStyle/>
          <a:p>
            <a:pPr>
              <a:defRPr sz="92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8"/>
        <c:txPr>
          <a:bodyPr/>
          <a:lstStyle/>
          <a:p>
            <a:pPr>
              <a:defRPr sz="92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9"/>
        <c:txPr>
          <a:bodyPr/>
          <a:lstStyle/>
          <a:p>
            <a:pPr>
              <a:defRPr sz="92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ayout>
        <c:manualLayout>
          <c:xMode val="edge"/>
          <c:yMode val="edge"/>
          <c:x val="7.7760497667185083E-2"/>
          <c:y val="0.32552083333333337"/>
          <c:w val="0.86003110419906692"/>
          <c:h val="0.66666666666666663"/>
        </c:manualLayout>
      </c:layout>
      <c:spPr>
        <a:solidFill>
          <a:srgbClr val="FFFFFF"/>
        </a:solidFill>
        <a:ln w="12694">
          <a:solidFill>
            <a:srgbClr val="FFFFFF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6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06-01</dc:creator>
  <cp:keywords/>
  <dc:description/>
  <cp:lastModifiedBy>06-01</cp:lastModifiedBy>
  <cp:revision>1</cp:revision>
  <dcterms:created xsi:type="dcterms:W3CDTF">2016-09-08T13:13:00Z</dcterms:created>
  <dcterms:modified xsi:type="dcterms:W3CDTF">2016-09-08T13:14:00Z</dcterms:modified>
</cp:coreProperties>
</file>