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5D" w:rsidRPr="0055505D" w:rsidRDefault="0055505D" w:rsidP="0055505D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Приложение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 решению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21.10.2010 N 107/10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ПОЛОЖЕНИЕ</w:t>
      </w:r>
    </w:p>
    <w:p w:rsidR="0055505D" w:rsidRPr="007B1A19" w:rsidRDefault="0055505D" w:rsidP="005550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"О ЕДИНОМ НАЛОГЕ НА ВМЕНЕННЫЙ ДОХОД ДЛЯ ОТДЕЛЬНЫХ ВИДОВ</w:t>
      </w:r>
    </w:p>
    <w:p w:rsidR="0055505D" w:rsidRPr="007B1A19" w:rsidRDefault="0055505D" w:rsidP="005550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ДЕЯТЕЛЬНОСТИ НА ТЕРРИТОРИИ МУНИЦИПАЛЬНОГО ОБРАЗОВАНИЯ</w:t>
      </w:r>
    </w:p>
    <w:p w:rsidR="0055505D" w:rsidRPr="007B1A19" w:rsidRDefault="0055505D" w:rsidP="0055505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"ПЕТУШИНСКИЙ РАЙОН"</w:t>
      </w:r>
    </w:p>
    <w:p w:rsidR="0055505D" w:rsidRPr="007B1A19" w:rsidRDefault="007B1A19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(в ред. решений Совета народных депутатов </w:t>
      </w:r>
      <w:proofErr w:type="spellStart"/>
      <w:r w:rsidR="0055505D"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от 24.12.2010 </w:t>
      </w:r>
      <w:hyperlink r:id="rId4" w:history="1">
        <w:r w:rsidRPr="007B1A19">
          <w:rPr>
            <w:rFonts w:ascii="Times New Roman" w:hAnsi="Times New Roman" w:cs="Times New Roman"/>
            <w:sz w:val="24"/>
            <w:szCs w:val="24"/>
          </w:rPr>
          <w:t>N 143/13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, от 21.04.2011 </w:t>
      </w:r>
      <w:hyperlink r:id="rId5" w:history="1">
        <w:r w:rsidRPr="007B1A19">
          <w:rPr>
            <w:rFonts w:ascii="Times New Roman" w:hAnsi="Times New Roman" w:cs="Times New Roman"/>
            <w:sz w:val="24"/>
            <w:szCs w:val="24"/>
          </w:rPr>
          <w:t>N 34/4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, от 17.11.2011 </w:t>
      </w:r>
      <w:hyperlink r:id="rId6" w:history="1">
        <w:r w:rsidRPr="007B1A19">
          <w:rPr>
            <w:rFonts w:ascii="Times New Roman" w:hAnsi="Times New Roman" w:cs="Times New Roman"/>
            <w:sz w:val="24"/>
            <w:szCs w:val="24"/>
          </w:rPr>
          <w:t>N 146/13</w:t>
        </w:r>
      </w:hyperlink>
      <w:r w:rsidRPr="007B1A19">
        <w:rPr>
          <w:rFonts w:ascii="Times New Roman" w:hAnsi="Times New Roman" w:cs="Times New Roman"/>
          <w:sz w:val="24"/>
          <w:szCs w:val="24"/>
        </w:rPr>
        <w:t>,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от 21.11.2012 </w:t>
      </w:r>
      <w:hyperlink r:id="rId7" w:history="1">
        <w:r w:rsidRPr="007B1A19">
          <w:rPr>
            <w:rFonts w:ascii="Times New Roman" w:hAnsi="Times New Roman" w:cs="Times New Roman"/>
            <w:sz w:val="24"/>
            <w:szCs w:val="24"/>
          </w:rPr>
          <w:t>N 126/11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, от 20.11.2014 </w:t>
      </w:r>
      <w:hyperlink r:id="rId8" w:history="1">
        <w:r w:rsidRPr="007B1A19">
          <w:rPr>
            <w:rFonts w:ascii="Times New Roman" w:hAnsi="Times New Roman" w:cs="Times New Roman"/>
            <w:sz w:val="24"/>
            <w:szCs w:val="24"/>
          </w:rPr>
          <w:t>N 44/3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, от 16.04.2015 </w:t>
      </w:r>
      <w:hyperlink r:id="rId9" w:history="1">
        <w:r w:rsidRPr="007B1A19">
          <w:rPr>
            <w:rFonts w:ascii="Times New Roman" w:hAnsi="Times New Roman" w:cs="Times New Roman"/>
            <w:sz w:val="24"/>
            <w:szCs w:val="24"/>
          </w:rPr>
          <w:t>N 38/6</w:t>
        </w:r>
      </w:hyperlink>
      <w:r w:rsidRPr="007B1A19">
        <w:rPr>
          <w:rFonts w:ascii="Times New Roman" w:hAnsi="Times New Roman" w:cs="Times New Roman"/>
          <w:sz w:val="24"/>
          <w:szCs w:val="24"/>
        </w:rPr>
        <w:t>,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от 19.11.2015 </w:t>
      </w:r>
      <w:hyperlink r:id="rId10" w:history="1">
        <w:r w:rsidRPr="007B1A19">
          <w:rPr>
            <w:rFonts w:ascii="Times New Roman" w:hAnsi="Times New Roman" w:cs="Times New Roman"/>
            <w:sz w:val="24"/>
            <w:szCs w:val="24"/>
          </w:rPr>
          <w:t>N 117/15</w:t>
        </w:r>
      </w:hyperlink>
      <w:r w:rsidRPr="007B1A19">
        <w:rPr>
          <w:rFonts w:ascii="Times New Roman" w:hAnsi="Times New Roman" w:cs="Times New Roman"/>
          <w:sz w:val="24"/>
          <w:szCs w:val="24"/>
        </w:rPr>
        <w:t>)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Настоящим Положением на территории муниципального образования "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Петушинский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район" регулируется система налогообложения в виде единого налога на вмененный доход для отдельных видов деятельности (далее по тексту настоящего Положения - единый налог), установленная </w:t>
      </w:r>
      <w:hyperlink r:id="rId11" w:history="1">
        <w:r w:rsidRPr="007B1A19">
          <w:rPr>
            <w:rFonts w:ascii="Times New Roman" w:hAnsi="Times New Roman" w:cs="Times New Roman"/>
            <w:sz w:val="24"/>
            <w:szCs w:val="24"/>
          </w:rPr>
          <w:t>главой 26.3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с изменениями, внесенными в нее федеральным законодательством, и введенная на территории муниципального образования "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Петушинский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район" с 1 января 2006 года.</w:t>
      </w:r>
      <w:proofErr w:type="gramEnd"/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8"/>
      <w:bookmarkEnd w:id="0"/>
      <w:r w:rsidRPr="007B1A19">
        <w:rPr>
          <w:rFonts w:ascii="Times New Roman" w:hAnsi="Times New Roman" w:cs="Times New Roman"/>
          <w:sz w:val="24"/>
          <w:szCs w:val="24"/>
        </w:rPr>
        <w:t>2. Единый налог на вмененный доход применяется в отношении следующих видов предпринимательской деятельности: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2.1. Оказания бытовых услуг, их групп, подгрупп, видов и (или) отдельных бытовых услуг, классифицируемых в соответствии с Общероссийским </w:t>
      </w:r>
      <w:hyperlink r:id="rId12" w:history="1">
        <w:r w:rsidRPr="007B1A19">
          <w:rPr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услуг населению.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2.2. Оказания ветеринарных услуг.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2.3. Оказания услуг по ремонту, техническому обслуживанию и мойке автомототранспортных средств.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. 2.3 в ред. </w:t>
      </w:r>
      <w:hyperlink r:id="rId13" w:history="1">
        <w:r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 от 21.11.2012 N 126/11)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2.4.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. 2.4 в ред. </w:t>
      </w:r>
      <w:hyperlink r:id="rId14" w:history="1">
        <w:r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 от 21.11.2012 N 126/11)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2.5. Оказания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6"/>
      <w:bookmarkEnd w:id="1"/>
      <w:r w:rsidRPr="007B1A19">
        <w:rPr>
          <w:rFonts w:ascii="Times New Roman" w:hAnsi="Times New Roman" w:cs="Times New Roman"/>
          <w:sz w:val="24"/>
          <w:szCs w:val="24"/>
        </w:rPr>
        <w:t>2.6. Розничной торговли, осуществляемой через магазины и павильоны с площадью торгового зала не более 150 квадратных метров по каждому объекту организации торговли.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2.7. Розничной торговли, осуществляемой через объекты стационарной торговой сети, не имеющей торговых залов, а также объекты нестационарной торговой сети.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2.8. 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9"/>
      <w:bookmarkEnd w:id="2"/>
      <w:r w:rsidRPr="007B1A19">
        <w:rPr>
          <w:rFonts w:ascii="Times New Roman" w:hAnsi="Times New Roman" w:cs="Times New Roman"/>
          <w:sz w:val="24"/>
          <w:szCs w:val="24"/>
        </w:rPr>
        <w:t>2.9. Оказания услуг общественного питания, осуществляемых через объекты организации общественного питания, не имеющие зала обслуживания посетителей.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2.10. Распространения наружной рекламы с использованием рекламных конструкций.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2.11. Размещения рекламы с использованием внешних и внутренних поверхностей транспортных средств.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. 2.11 в ред. </w:t>
      </w:r>
      <w:hyperlink r:id="rId15" w:history="1">
        <w:r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 от 21.11.2012 N 126/11)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2.12. Оказания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проживания, не более 500 квадратных метров.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lastRenderedPageBreak/>
        <w:t>2.13. Оказания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2.14. Оказания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 xml:space="preserve">Единый налог не применяется в отношении видов предпринимательской деятельности, указанных в </w:t>
      </w:r>
      <w:hyperlink w:anchor="Par18" w:history="1">
        <w:r w:rsidRPr="007B1A19">
          <w:rPr>
            <w:rFonts w:ascii="Times New Roman" w:hAnsi="Times New Roman" w:cs="Times New Roman"/>
            <w:sz w:val="24"/>
            <w:szCs w:val="24"/>
          </w:rPr>
          <w:t>пункте 2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настоящего Положения, в случае осуществления их в рамках договора простого товарищества (договора о совместной деятельности) или договора доверительного управления имуществом, а также в случае осуществления их налогоплательщиками, отнесенными к категории крупнейших в соответствии со </w:t>
      </w:r>
      <w:hyperlink r:id="rId16" w:history="1">
        <w:r w:rsidRPr="007B1A19">
          <w:rPr>
            <w:rFonts w:ascii="Times New Roman" w:hAnsi="Times New Roman" w:cs="Times New Roman"/>
            <w:sz w:val="24"/>
            <w:szCs w:val="24"/>
          </w:rPr>
          <w:t>статьей 83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  <w:proofErr w:type="gramEnd"/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 xml:space="preserve">Единый налог не применяется в отношении видов предпринимательской деятельности, указанных в </w:t>
      </w:r>
      <w:hyperlink w:anchor="Par26" w:history="1">
        <w:r w:rsidRPr="007B1A19">
          <w:rPr>
            <w:rFonts w:ascii="Times New Roman" w:hAnsi="Times New Roman" w:cs="Times New Roman"/>
            <w:sz w:val="24"/>
            <w:szCs w:val="24"/>
          </w:rPr>
          <w:t>подпунктах 2.6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29" w:history="1">
        <w:r w:rsidRPr="007B1A19">
          <w:rPr>
            <w:rFonts w:ascii="Times New Roman" w:hAnsi="Times New Roman" w:cs="Times New Roman"/>
            <w:sz w:val="24"/>
            <w:szCs w:val="24"/>
          </w:rPr>
          <w:t>2.9 пункта 2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настоящего Положения, в случае, если они осуществляются организациями и индивидуальными предпринимателями, перешедшими в соответствии с </w:t>
      </w:r>
      <w:hyperlink r:id="rId17" w:history="1">
        <w:r w:rsidRPr="007B1A19">
          <w:rPr>
            <w:rFonts w:ascii="Times New Roman" w:hAnsi="Times New Roman" w:cs="Times New Roman"/>
            <w:sz w:val="24"/>
            <w:szCs w:val="24"/>
          </w:rPr>
          <w:t>главой 26.1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на уплату единого сельскохозяйственного налога, и указанные организации и индивидуальные предприниматели реализуют через свои объекты организации торговли и (или) общественного питания произведенную ими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 сельскохозяйственную продукцию, включая продукцию первичной переработки, произведенную ими из сельскохозяйственного сырья собственного производства.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5. </w:t>
      </w:r>
      <w:hyperlink w:anchor="Par54" w:history="1">
        <w:r w:rsidRPr="007B1A19">
          <w:rPr>
            <w:rFonts w:ascii="Times New Roman" w:hAnsi="Times New Roman" w:cs="Times New Roman"/>
            <w:sz w:val="24"/>
            <w:szCs w:val="24"/>
          </w:rPr>
          <w:t>Значения коэффициентов К2-1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26" w:history="1">
        <w:r w:rsidRPr="007B1A19">
          <w:rPr>
            <w:rFonts w:ascii="Times New Roman" w:hAnsi="Times New Roman" w:cs="Times New Roman"/>
            <w:sz w:val="24"/>
            <w:szCs w:val="24"/>
          </w:rPr>
          <w:t>К2-2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устанавливаются согласно приложениям N 1, 2 к Положению.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. 5 в ред. </w:t>
      </w:r>
      <w:hyperlink r:id="rId18" w:history="1">
        <w:r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 от 19.11.2015 N 117/15)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6. Иные положения, относящиеся к единому налогу на вмененный доход для отдельных видов деятельности, определяются Налоговым </w:t>
      </w:r>
      <w:hyperlink r:id="rId19" w:history="1">
        <w:r w:rsidRPr="007B1A19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 Положению "О едином налоге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на вмененный доход для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видов деятельности на территории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Петушинский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21.10.2010 N 107/10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54"/>
      <w:bookmarkEnd w:id="3"/>
      <w:r w:rsidRPr="007B1A19">
        <w:rPr>
          <w:rFonts w:ascii="Times New Roman" w:hAnsi="Times New Roman" w:cs="Times New Roman"/>
          <w:sz w:val="24"/>
          <w:szCs w:val="24"/>
        </w:rPr>
        <w:t>ЗНАЧЕНИЯ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КОЭФФИЦИЕНТА К2-1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 ЗАВИСИМОСТИ ОТ СОВОКУПНОСТИ ОСОБЕННОСТЕЙ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ВЕДЕНИЯ ПРЕДПРИНИМАТЕЛЬСКОЙ ДЕЯТЕЛЬНОСТИ</w:t>
      </w:r>
    </w:p>
    <w:p w:rsidR="0055505D" w:rsidRPr="007B1A19" w:rsidRDefault="007B1A19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="0055505D"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55505D"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="0055505D"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16.04.2015 N 38/6)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12"/>
        <w:gridCol w:w="510"/>
        <w:gridCol w:w="4082"/>
        <w:gridCol w:w="1134"/>
      </w:tblGrid>
      <w:tr w:rsidR="0055505D" w:rsidRPr="007B1A19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Вид предпринимательской деятельности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Подвид предпринимательской деятельности (наименование услуги, тип предприятия или объекта)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К2-1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I. Оказание бытовых услуг, в том числе: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Ремонт, окраска и пошив обуви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пошив меховых и кожаных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пошив швейных изделий;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пошив головных уборов;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пошив изделий текстильной галантереи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Ремонт, пошив и вязание трикотажных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бытовой радиоэлектронной аппаратуры, бытовых машин и бытовых приборов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и изготовление металлоизделий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ювелирных изделий;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чеканка и гравировка ювелирных изделий;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чернение изделий из серебра;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изготовление ювелирных изделий;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накладных </w:t>
            </w:r>
            <w:proofErr w:type="spell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выпильных</w:t>
            </w:r>
            <w:proofErr w:type="spellEnd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 монограмм к ювелирным изделиям;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изготовление ювелирных изделий методом литья по выплавляемым моделям;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обработка поделочных ювелирных камней и закрепление их в ювелирных изделиях; ремонт и реставрация антикварных изделий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Граверные работы по металлу, стеклу, фарфору, дереву, керамике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мебели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Химическая чистка и крашение;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прачечных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Ремонт жилья и других построек;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Благоустройство придомовых территорий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фотоателье и фот</w:t>
            </w:r>
            <w:proofErr w:type="gram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кинолабораторий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Прочие услуги производственного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Распиловка древесины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бань и душевых (саун)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Прочие услуги, оказываемые в банях и душевых (массаж, водолечебные процедуры)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парикмахерских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по прокату, за исключением проката компьютерной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Прокат компьютерной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Ритуальные услуги, за исключением услуг по установке, снятию окраски надмогильных сооружений; изготовления надгробных сооружений из цемента с мраморной крошкой, из природного камня и искусственных материалов и их реставрация; изготовления временных надгробных сооружений из различных материалов; надписей на памятниках, мраморных досках, крепления фотографий на памятниках; высечки барельефов, выполнения графических портретов на памятниках;</w:t>
            </w:r>
            <w:proofErr w:type="gramEnd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 скульптурных работ и т.п.; изготовления оград, памятников, венков из металла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по установке, снятию окраски надмогильных сооружений;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изготовление надгробных сооружений из цемента с мраморной крошкой, из природного камня и искусственных материалов и их реставрация;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изготовление временных надгробных сооружений из различных материалов;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надписи на памятниках, мраморных досках, крепление фотографий на памятниках;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высечка барельефов, выполнение графических портретов на памятниках, скульптурные работы и т.п.;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изготовление оград, памятников, венков из металла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Обрядовые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Прочие услуги непроизводственного характера, за исключением приема изделий на хранение в ломбарде от населения и приема изделий под ссудный залог от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55505D" w:rsidRPr="007B1A19">
        <w:tc>
          <w:tcPr>
            <w:tcW w:w="3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Услуги по присмотру за детьми и больными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II. Розничная торговля, осуществляемая через объекты стационарной торговой сети, имеющей торговые залы: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Розничная торговля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 в объектах с площадью торгового зала более 30 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Розничная торговля готовыми лекарственными средствами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сельских населенных пунктах (кроме объектов, расположенных в пределах придорожной полосы ФАД М-7)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Розничная торговля, осуществляемая в сельских населенных пунктах (для организаций и индивидуальных предпринимателей, имеющих 9 и более торговых объектов, расположенных в сельской местности) (кроме объектов, расположенных в пределах придорожной полосы ФАД М-7)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III.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IV. Розничная торговля, осуществляемая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Контейнер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Приспособление контейнерного типа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Торговое место на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Торговое место на открытом рынке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Иные объекты нестационарной торговой сети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V. Оказание услуг общественного </w:t>
            </w:r>
            <w:r w:rsidRPr="007B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питания через объект организации общественного питания, имеющий зал обслуживания посетителей: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Столовая общедоступная;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столовая, обслуживающая исключительно контингент какой-либо определенной организации и состоящая на балансе этой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0,7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Столовая в образовательных учреждениях; диетическая столовая;</w:t>
            </w:r>
          </w:p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столовая в учреждениях здравоохранения и социального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Ресторан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Бар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Закусочная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Другие предприятия общественного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Точки общественного питания, расположенные исключительно на открытой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VI. Оказание услуг общественного питания через объект организации общественного питания, не имеющий зала обслуживания посетителей: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Палатка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Другие аналогичные точки общественного питания, не имеющие залов обслуживания посетителей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VII. Развозная и разносная розничная торговля: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Автоцистерна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Фургон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Иные объекты развозной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VIII. Реализация товаров с использованием торговых автоматов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IX. Оказание ветеринарных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X. 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XI. Оказание автотранспортных услуг по перевозке грузов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XII. Оказание автотранспортных услуг по перевозке пассажиров: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 числом посадочных мест - до 8 (включительно)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 числом посадочных мест - от 9 до 15 (включительно)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3912" w:type="dxa"/>
            <w:tcBorders>
              <w:left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 числом посадочных мест - от 16 до 30 (включительно)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5505D" w:rsidRPr="007B1A19">
        <w:tc>
          <w:tcPr>
            <w:tcW w:w="39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с числом посадочных мест свыше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XIII. Оказание услуг по ремонту, техническому обслуживанию и мойке автомототранспортных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XIV. Распространение наружной рекламы с использованием рекламных конструкций (за исключением рекламных конструкций с автоматической сменой изображения и электронных табло)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XV. Распространение наружной рекламы с использованием рекламных конструкций с автоматической сменой изображения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XVI. Распространение наружной рекламы с использованием электронных табло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XVII. Размещение рекламы с использованием внешних и внутренних поверхностей транспортных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XVIII. Оказание услуг по временному размещению и проживанию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XIX.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не превышает 5 квадратных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XX. 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залов обслуживания посетителей, если площадь каждого из них превышает 5 квадратных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XXI.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не превышает 10 квадратных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55505D" w:rsidRPr="007B1A19">
        <w:tc>
          <w:tcPr>
            <w:tcW w:w="8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XXII. 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питания, если площадь земельного участка превышает 10 квадратных метров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Примечание: для индивидуальных предпринимателей, не имеющих наемных работников и являющихся инвалидами, и учреждений, созданных для социальных целей или оказания правовой и иной помощи инвалидам, детям-инвалидам и их родителям, значения коэффициента К2-1 устанавливаются в размере 50% от значений, установленных в настоящем приложении.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 Положению "О едином налоге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на вмененный доход для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видов деятельности на территории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Петушинский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21.10.2010 N 107/10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326"/>
      <w:bookmarkEnd w:id="4"/>
      <w:r w:rsidRPr="007B1A19">
        <w:rPr>
          <w:rFonts w:ascii="Times New Roman" w:hAnsi="Times New Roman" w:cs="Times New Roman"/>
          <w:sz w:val="24"/>
          <w:szCs w:val="24"/>
        </w:rPr>
        <w:t>ЗНАЧЕНИЯ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КОЭФФИЦИЕНТА К2-2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 ЗАВИСИМОСТИ ОТ ОСОБЕННОСТИ МЕСТА ВЕДЕНИЯ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</w:p>
    <w:p w:rsidR="0055505D" w:rsidRPr="007B1A19" w:rsidRDefault="007B1A19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1" w:history="1">
        <w:r w:rsidR="0055505D" w:rsidRPr="007B1A19">
          <w:rPr>
            <w:rFonts w:ascii="Times New Roman" w:hAnsi="Times New Roman" w:cs="Times New Roman"/>
            <w:sz w:val="24"/>
            <w:szCs w:val="24"/>
          </w:rPr>
          <w:t>решения</w:t>
        </w:r>
      </w:hyperlink>
      <w:r w:rsidR="0055505D"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="0055505D"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="0055505D" w:rsidRPr="007B1A19">
        <w:rPr>
          <w:rFonts w:ascii="Times New Roman" w:hAnsi="Times New Roman" w:cs="Times New Roman"/>
          <w:sz w:val="24"/>
          <w:szCs w:val="24"/>
        </w:rPr>
        <w:t xml:space="preserve"> района</w:t>
      </w:r>
      <w:proofErr w:type="gramEnd"/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19.11.2015 N 117/15)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633"/>
        <w:gridCol w:w="2381"/>
      </w:tblGrid>
      <w:tr w:rsidR="0055505D" w:rsidRPr="007B1A1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Место ведения предпринимательской деятельности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Значение коэффициента К2-2</w:t>
            </w:r>
          </w:p>
        </w:tc>
      </w:tr>
      <w:tr w:rsidR="0055505D" w:rsidRPr="007B1A1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Города и поселки городского типа с численностью населения менее 20 тыс. человек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55505D" w:rsidRPr="007B1A1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Прочие населенные пункты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55505D" w:rsidRPr="007B1A1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 xml:space="preserve">Объекты, расположенные вдоль ФАД М-7 </w:t>
            </w:r>
            <w:hyperlink w:anchor="Par348" w:history="1">
              <w:r w:rsidRPr="007B1A19">
                <w:rPr>
                  <w:rFonts w:ascii="Times New Roman" w:hAnsi="Times New Roman" w:cs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5D" w:rsidRPr="007B1A19" w:rsidRDefault="005550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A1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</w:tbl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Примечание: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48"/>
      <w:bookmarkEnd w:id="5"/>
      <w:r w:rsidRPr="007B1A19">
        <w:rPr>
          <w:rFonts w:ascii="Times New Roman" w:hAnsi="Times New Roman" w:cs="Times New Roman"/>
          <w:sz w:val="24"/>
          <w:szCs w:val="24"/>
        </w:rPr>
        <w:t xml:space="preserve">1. &lt;*&gt; Объекты предпринимательской деятельности, расположенные вдоль ФАД М-7 (за исключением объектов, расположенных за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шумоизоляционными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экранами, установленными федеральными дорожными службами), на расстоянии: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не более 50 метров от границы полосы отвода в черте города Покров и поселка Нагорный;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не более 70 метров от границы полосы отвода в черте остальных населенных пунктов и вне населенных пунктов.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2. Значение коэффициента К2-2 принимается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 1,0: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услуг по установке, снятию окраски надмогильных сооружений; изготовлению надгробных сооружений из цемента с мраморной крошкой из природного камня и искусственных материалов и их реставрации; изготовлению временных надгробных сооружений из различных материалов; надписи на памятниках, мраморных досках, креплению фотографий на памятниках; высечке барельефов, выполнению графических портретов на памятниках, скульптурных работ и т.п.; изготовлению оград, памятников, венков из металла;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розничной торговля, осуществляемой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не превышает 5 квадратных метров;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1A19">
        <w:rPr>
          <w:rFonts w:ascii="Times New Roman" w:hAnsi="Times New Roman" w:cs="Times New Roman"/>
          <w:sz w:val="24"/>
          <w:szCs w:val="24"/>
        </w:rPr>
        <w:t>в отношении розничной торговля, осуществляемой через объекты стационарной торговой сети, не имеющие торговых залов, а также через объекты нестационарной торговой сети, площадь торгового места в которых превышает 5 квадратных метров (за исключением рынков, ярмарок, торговых комплексов);</w:t>
      </w:r>
      <w:proofErr w:type="gramEnd"/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услуг общественного питания, оказываемых в объектах, расположенных на ФАД М-7 (рестораны, кафе, бары, закусочные, другие предприятия общественного питания, точки общественного питания, расположенные исключительно на открытых площадках за исключением столовых);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оказания автотранспортных услуг по перевозке грузов;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оказания автотранспортных услуг по перевозке пассажиров;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разносной (развозной) торговли;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lastRenderedPageBreak/>
        <w:t>в отношении оказания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стоянках;</w:t>
      </w: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 отношении услуг по временному размещению и проживанию в объектах, расположенных на ФАД М-7.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Приложение N 3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к Положению "О едином налоге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на вмененный доход для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отдельных</w:t>
      </w:r>
      <w:proofErr w:type="gramEnd"/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видов деятельности на территории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"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Петушинский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район"</w:t>
      </w:r>
    </w:p>
    <w:p w:rsidR="0055505D" w:rsidRPr="007B1A19" w:rsidRDefault="0055505D" w:rsidP="0055505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от 21.10.2010 N 107/10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ЗНАЧЕНИЕ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КОЭФФИЦИЕНТА К2-3, </w:t>
      </w:r>
      <w:proofErr w:type="gramStart"/>
      <w:r w:rsidRPr="007B1A19">
        <w:rPr>
          <w:rFonts w:ascii="Times New Roman" w:hAnsi="Times New Roman" w:cs="Times New Roman"/>
          <w:sz w:val="24"/>
          <w:szCs w:val="24"/>
        </w:rPr>
        <w:t>УЧИТЫВАЮЩЕЕ</w:t>
      </w:r>
      <w:proofErr w:type="gramEnd"/>
      <w:r w:rsidRPr="007B1A19">
        <w:rPr>
          <w:rFonts w:ascii="Times New Roman" w:hAnsi="Times New Roman" w:cs="Times New Roman"/>
          <w:sz w:val="24"/>
          <w:szCs w:val="24"/>
        </w:rPr>
        <w:t xml:space="preserve"> ВЕЛИЧИНУ СРЕДНЕМЕСЯЧНОЙ</w:t>
      </w:r>
    </w:p>
    <w:p w:rsidR="0055505D" w:rsidRPr="007B1A19" w:rsidRDefault="0055505D" w:rsidP="0055505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>ЗАРАБОТНОЙ ПЛАТЫ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 w:rsidP="005550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B1A19">
        <w:rPr>
          <w:rFonts w:ascii="Times New Roman" w:hAnsi="Times New Roman" w:cs="Times New Roman"/>
          <w:sz w:val="24"/>
          <w:szCs w:val="24"/>
        </w:rPr>
        <w:t xml:space="preserve">Утратило силу. - </w:t>
      </w:r>
      <w:hyperlink r:id="rId22" w:history="1">
        <w:r w:rsidRPr="007B1A19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7B1A19">
        <w:rPr>
          <w:rFonts w:ascii="Times New Roman" w:hAnsi="Times New Roman" w:cs="Times New Roman"/>
          <w:sz w:val="24"/>
          <w:szCs w:val="24"/>
        </w:rPr>
        <w:t xml:space="preserve"> Совета народных депутатов </w:t>
      </w:r>
      <w:proofErr w:type="spellStart"/>
      <w:r w:rsidRPr="007B1A19">
        <w:rPr>
          <w:rFonts w:ascii="Times New Roman" w:hAnsi="Times New Roman" w:cs="Times New Roman"/>
          <w:sz w:val="24"/>
          <w:szCs w:val="24"/>
        </w:rPr>
        <w:t>Петушинского</w:t>
      </w:r>
      <w:proofErr w:type="spellEnd"/>
      <w:r w:rsidRPr="007B1A19">
        <w:rPr>
          <w:rFonts w:ascii="Times New Roman" w:hAnsi="Times New Roman" w:cs="Times New Roman"/>
          <w:sz w:val="24"/>
          <w:szCs w:val="24"/>
        </w:rPr>
        <w:t xml:space="preserve"> района от 16.04.2015 N 38/6.</w:t>
      </w:r>
    </w:p>
    <w:p w:rsidR="0055505D" w:rsidRPr="007B1A19" w:rsidRDefault="0055505D" w:rsidP="005550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2D07" w:rsidRPr="007B1A19" w:rsidRDefault="00492D07">
      <w:pPr>
        <w:rPr>
          <w:rFonts w:ascii="Times New Roman" w:hAnsi="Times New Roman" w:cs="Times New Roman"/>
          <w:sz w:val="24"/>
          <w:szCs w:val="24"/>
        </w:rPr>
      </w:pPr>
    </w:p>
    <w:p w:rsidR="0055505D" w:rsidRPr="007B1A19" w:rsidRDefault="0055505D">
      <w:pPr>
        <w:rPr>
          <w:rFonts w:ascii="Times New Roman" w:hAnsi="Times New Roman" w:cs="Times New Roman"/>
          <w:sz w:val="24"/>
          <w:szCs w:val="24"/>
        </w:rPr>
      </w:pPr>
    </w:p>
    <w:sectPr w:rsidR="0055505D" w:rsidRPr="007B1A19" w:rsidSect="007B1A19">
      <w:pgSz w:w="11906" w:h="16838"/>
      <w:pgMar w:top="426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505D"/>
    <w:rsid w:val="00492D07"/>
    <w:rsid w:val="0055505D"/>
    <w:rsid w:val="007B1A19"/>
    <w:rsid w:val="00862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0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5505D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294EBE57FC97B7E426C9F61D18EB7F4CFF2D243E5BA466515F815960A9F91CA1C5ACC306041A9E51E0F16BUEN" TargetMode="External"/><Relationship Id="rId13" Type="http://schemas.openxmlformats.org/officeDocument/2006/relationships/hyperlink" Target="consultantplus://offline/ref=EF294EBE57FC97B7E426C9F61D18EB7F4CFF2D243159A469545F815960A9F91CA1C5ACC306041A9E51E0F16BUDN" TargetMode="External"/><Relationship Id="rId18" Type="http://schemas.openxmlformats.org/officeDocument/2006/relationships/hyperlink" Target="consultantplus://offline/ref=EF294EBE57FC97B7E426C9F61D18EB7F4CFF2D243F5BA666535F815960A9F91CA1C5ACC306041A9E51E0F16BUD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F294EBE57FC97B7E426C9F61D18EB7F4CFF2D243F5BA666535F815960A9F91CA1C5ACC306041A9E51E0F16BU3N" TargetMode="External"/><Relationship Id="rId7" Type="http://schemas.openxmlformats.org/officeDocument/2006/relationships/hyperlink" Target="consultantplus://offline/ref=EF294EBE57FC97B7E426C9F61D18EB7F4CFF2D243159A469545F815960A9F91CA1C5ACC306041A9E51E0F16BUEN" TargetMode="External"/><Relationship Id="rId12" Type="http://schemas.openxmlformats.org/officeDocument/2006/relationships/hyperlink" Target="consultantplus://offline/ref=EF294EBE57FC97B7E426D7FB0B74B5754FF17B2E335DAC360C00DA04376AU0N" TargetMode="External"/><Relationship Id="rId17" Type="http://schemas.openxmlformats.org/officeDocument/2006/relationships/hyperlink" Target="consultantplus://offline/ref=EF294EBE57FC97B7E426D7FB0B74B5754FFC7A2A305DAC360C00DA0437A0F34BE68AF5824A60UA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F294EBE57FC97B7E426D7FB0B74B5754FFC7A2C305FAC360C00DA0437A0F34BE68AF5814208189F65U8N" TargetMode="External"/><Relationship Id="rId20" Type="http://schemas.openxmlformats.org/officeDocument/2006/relationships/hyperlink" Target="consultantplus://offline/ref=EF294EBE57FC97B7E426C9F61D18EB7F4CFF2D243E5EA264565F815960A9F91CA1C5ACC306041A9E51E0F16BU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F294EBE57FC97B7E426C9F61D18EB7F4CFF2D243E5FA568555F815960A9F91CA1C5ACC306041A9E51E0F16BUEN" TargetMode="External"/><Relationship Id="rId11" Type="http://schemas.openxmlformats.org/officeDocument/2006/relationships/hyperlink" Target="consultantplus://offline/ref=EF294EBE57FC97B7E426D7FB0B74B5754FFC7A2A305DAC360C00DA0437A0F34BE68AF581420A1C9C65U4N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EF294EBE57FC97B7E426C9F61D18EB7F4CFF2D243250A768525F815960A9F91CA1C5ACC306041A9E51E0F16BUEN" TargetMode="External"/><Relationship Id="rId15" Type="http://schemas.openxmlformats.org/officeDocument/2006/relationships/hyperlink" Target="consultantplus://offline/ref=EF294EBE57FC97B7E426C9F61D18EB7F4CFF2D243159A469545F815960A9F91CA1C5ACC306041A9E51E0F16BU3N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EF294EBE57FC97B7E426C9F61D18EB7F4CFF2D243F5BA666535F815960A9F91CA1C5ACC306041A9E51E0F16BUDN" TargetMode="External"/><Relationship Id="rId19" Type="http://schemas.openxmlformats.org/officeDocument/2006/relationships/hyperlink" Target="consultantplus://offline/ref=EF294EBE57FC97B7E426D7FB0B74B5754FFC7A2C305FAC360C00DA04376AU0N" TargetMode="External"/><Relationship Id="rId4" Type="http://schemas.openxmlformats.org/officeDocument/2006/relationships/hyperlink" Target="consultantplus://offline/ref=EF294EBE57FC97B7E426C9F61D18EB7F4CFF2D24325DAF61515F815960A9F91CA1C5ACC306041A9E51E0F16BUEN" TargetMode="External"/><Relationship Id="rId9" Type="http://schemas.openxmlformats.org/officeDocument/2006/relationships/hyperlink" Target="consultantplus://offline/ref=EF294EBE57FC97B7E426C9F61D18EB7F4CFF2D243E5EA264565F815960A9F91CA1C5ACC306041A9E51E0F16BUCN" TargetMode="External"/><Relationship Id="rId14" Type="http://schemas.openxmlformats.org/officeDocument/2006/relationships/hyperlink" Target="consultantplus://offline/ref=EF294EBE57FC97B7E426C9F61D18EB7F4CFF2D243159A469545F815960A9F91CA1C5ACC306041A9E51E0F16BUCN" TargetMode="External"/><Relationship Id="rId22" Type="http://schemas.openxmlformats.org/officeDocument/2006/relationships/hyperlink" Target="consultantplus://offline/ref=EF294EBE57FC97B7E426C9F61D18EB7F4CFF2D243E5EA264565F815960A9F91CA1C5ACC306041A9E51E0F16BU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2988</Words>
  <Characters>17033</Characters>
  <Application>Microsoft Office Word</Application>
  <DocSecurity>0</DocSecurity>
  <Lines>141</Lines>
  <Paragraphs>39</Paragraphs>
  <ScaleCrop>false</ScaleCrop>
  <Company/>
  <LinksUpToDate>false</LinksUpToDate>
  <CharactersWithSpaces>19982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3300-00-197</dc:creator>
  <cp:lastModifiedBy>06-01</cp:lastModifiedBy>
  <cp:revision>2</cp:revision>
  <dcterms:created xsi:type="dcterms:W3CDTF">2016-01-11T13:21:00Z</dcterms:created>
  <dcterms:modified xsi:type="dcterms:W3CDTF">2016-01-13T13:01:00Z</dcterms:modified>
</cp:coreProperties>
</file>