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33" w:rsidRDefault="00847B33" w:rsidP="000F0C6D">
      <w:pPr>
        <w:pStyle w:val="ConsPlusTitlePage"/>
      </w:pPr>
      <w:bookmarkStart w:id="0" w:name="_GoBack"/>
      <w:bookmarkEnd w:id="0"/>
    </w:p>
    <w:p w:rsidR="00847B33" w:rsidRDefault="00847B33">
      <w:pPr>
        <w:pStyle w:val="ConsPlusTitle"/>
        <w:jc w:val="center"/>
      </w:pPr>
      <w:r>
        <w:t>ЗАКОН</w:t>
      </w:r>
    </w:p>
    <w:p w:rsidR="00847B33" w:rsidRDefault="00847B33">
      <w:pPr>
        <w:pStyle w:val="ConsPlusTitle"/>
        <w:jc w:val="center"/>
      </w:pPr>
      <w:r>
        <w:t>ВОЛГОГРАДСКОЙ ОБЛАСТИ</w:t>
      </w:r>
    </w:p>
    <w:p w:rsidR="00847B33" w:rsidRDefault="00847B33">
      <w:pPr>
        <w:pStyle w:val="ConsPlusTitle"/>
        <w:jc w:val="both"/>
      </w:pPr>
    </w:p>
    <w:p w:rsidR="00847B33" w:rsidRDefault="00847B33">
      <w:pPr>
        <w:pStyle w:val="ConsPlusTitle"/>
        <w:jc w:val="center"/>
      </w:pPr>
      <w:r>
        <w:t>О ВНЕСЕНИИ ИЗМЕНЕНИЙ В ЗАКОН ВОЛГОГРАДСКОЙ ОБЛАСТИ</w:t>
      </w:r>
    </w:p>
    <w:p w:rsidR="00847B33" w:rsidRDefault="00847B33">
      <w:pPr>
        <w:pStyle w:val="ConsPlusTitle"/>
        <w:jc w:val="center"/>
      </w:pPr>
      <w:r>
        <w:t>ОТ 17 ДЕКАБРЯ 1999 Г. N 352-ОД "О СТАВКАХ НАЛОГА</w:t>
      </w:r>
    </w:p>
    <w:p w:rsidR="00847B33" w:rsidRDefault="00847B33">
      <w:pPr>
        <w:pStyle w:val="ConsPlusTitle"/>
        <w:jc w:val="center"/>
      </w:pPr>
      <w:r>
        <w:t>НА ПРИБЫЛЬ ОРГАНИЗАЦИЙ"</w:t>
      </w:r>
    </w:p>
    <w:p w:rsidR="00847B33" w:rsidRDefault="00847B33">
      <w:pPr>
        <w:pStyle w:val="ConsPlusNormal"/>
        <w:jc w:val="both"/>
      </w:pPr>
    </w:p>
    <w:p w:rsidR="00847B33" w:rsidRDefault="00847B33">
      <w:pPr>
        <w:pStyle w:val="ConsPlusNormal"/>
        <w:jc w:val="right"/>
      </w:pPr>
      <w:r>
        <w:t>Принят</w:t>
      </w:r>
    </w:p>
    <w:p w:rsidR="00847B33" w:rsidRDefault="00847B33">
      <w:pPr>
        <w:pStyle w:val="ConsPlusNormal"/>
        <w:jc w:val="right"/>
      </w:pPr>
      <w:r>
        <w:t>Волгоградской</w:t>
      </w:r>
    </w:p>
    <w:p w:rsidR="00847B33" w:rsidRDefault="00847B33">
      <w:pPr>
        <w:pStyle w:val="ConsPlusNormal"/>
        <w:jc w:val="right"/>
      </w:pPr>
      <w:r>
        <w:t>областной Думой</w:t>
      </w:r>
    </w:p>
    <w:p w:rsidR="00847B33" w:rsidRDefault="00847B33">
      <w:pPr>
        <w:pStyle w:val="ConsPlusNormal"/>
        <w:jc w:val="right"/>
      </w:pPr>
      <w:r>
        <w:t>24 декабря 2020 года</w:t>
      </w:r>
    </w:p>
    <w:p w:rsidR="00847B33" w:rsidRDefault="00847B33">
      <w:pPr>
        <w:pStyle w:val="ConsPlusNormal"/>
        <w:jc w:val="both"/>
      </w:pPr>
    </w:p>
    <w:p w:rsidR="00847B33" w:rsidRPr="000F0C6D" w:rsidRDefault="00847B33">
      <w:pPr>
        <w:pStyle w:val="ConsPlusTitle"/>
        <w:ind w:firstLine="540"/>
        <w:jc w:val="both"/>
        <w:outlineLvl w:val="0"/>
      </w:pPr>
      <w:r w:rsidRPr="000F0C6D">
        <w:t>Статья 1</w:t>
      </w:r>
    </w:p>
    <w:p w:rsidR="00847B33" w:rsidRPr="000F0C6D" w:rsidRDefault="00847B33">
      <w:pPr>
        <w:pStyle w:val="ConsPlusNormal"/>
        <w:jc w:val="both"/>
      </w:pPr>
    </w:p>
    <w:p w:rsidR="00847B33" w:rsidRPr="000F0C6D" w:rsidRDefault="00847B33">
      <w:pPr>
        <w:pStyle w:val="ConsPlusNormal"/>
        <w:ind w:firstLine="540"/>
        <w:jc w:val="both"/>
      </w:pPr>
      <w:r w:rsidRPr="000F0C6D">
        <w:t xml:space="preserve">Внести в </w:t>
      </w:r>
      <w:hyperlink r:id="rId4" w:history="1">
        <w:r w:rsidRPr="000F0C6D">
          <w:t>Закон</w:t>
        </w:r>
      </w:hyperlink>
      <w:r w:rsidRPr="000F0C6D">
        <w:t xml:space="preserve"> Волгоградской области от 17 декабря 1999 г. N 352-ОД "О ставках налога на прибыль организаций" (в редакции от 30 октября 2001 г. N 619-ОД, от 09 июля 2002 г. N 722-ОД, от 28 ноября 2002 г. N 758-ОД, от 28 марта 2003 г. N 803-ОД, от 01 июля 2003 г. N 840-ОД, от 23 октября 2003 г. N 874-ОД, от 19 октября 2004 г. N 950-ОД, от 22 ноября 2005 г. N 1123-ОД, от 14 июля 2006 г. N 1257-ОД, от 17 октября 2006 г. N 1296-ОД, от 21 августа 2007 г. N 1526-ОД (в редакции от 29 ноября 2007 г. N 1575-ОД), от 09 ноября 2009 г. N 1957-ОД, от 09 ноября 2010 г. N 2116-ОД, от 29 ноября 2011 г. N 2254-ОД, от 06 февраля 2017 г. N 13-ОД, от 17 декабря 2018 г. N 144-ОД, от 18 июля 2019 г. N 66-ОД, от 22 ноября 2019 г. N 101-ОД, от 22 ноября 2019 г. N 107-ОД, от 26 декабря 2019 г. N 136-ОД) следующие изменения: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 xml:space="preserve">1) в </w:t>
      </w:r>
      <w:hyperlink r:id="rId5" w:history="1">
        <w:r w:rsidRPr="000F0C6D">
          <w:t>пункте 3.1 статьи 1</w:t>
        </w:r>
      </w:hyperlink>
      <w:r w:rsidRPr="000F0C6D">
        <w:t>: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hyperlink r:id="rId6" w:history="1">
        <w:r w:rsidRPr="000F0C6D">
          <w:t>абзац первый</w:t>
        </w:r>
      </w:hyperlink>
      <w:r w:rsidRPr="000F0C6D">
        <w:t xml:space="preserve"> после слов "на территории Волгоградской области" дополнить словами "(далее - инвестиционное соглашение с Администрацией Волгоградской области)";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hyperlink r:id="rId7" w:history="1">
        <w:r w:rsidRPr="000F0C6D">
          <w:t>дополнить</w:t>
        </w:r>
      </w:hyperlink>
      <w:r w:rsidRPr="000F0C6D">
        <w:t xml:space="preserve"> абзацем следующего содержания: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>"Организации, являющиеся инвесторами и заключившие инвестиционное соглашение с Администрацией Волгоградской области после 1 января 2021 года, имеют право применять ставки по налогу на прибыль организаций, установленные настоящим пунктом, в случае, если ими не применяется инвестиционный налоговый вычет в соответствии с абзацем третьим части первой статьи 1.1 настоящего Закона.";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 xml:space="preserve">2) </w:t>
      </w:r>
      <w:hyperlink r:id="rId8" w:history="1">
        <w:r w:rsidRPr="000F0C6D">
          <w:t>статью 1.1</w:t>
        </w:r>
      </w:hyperlink>
      <w:r w:rsidRPr="000F0C6D">
        <w:t xml:space="preserve"> изложить в следующей редакции: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>"Статья 1.1. Инвестиционный налоговый вычет</w:t>
      </w:r>
    </w:p>
    <w:p w:rsidR="00847B33" w:rsidRPr="000F0C6D" w:rsidRDefault="00847B33">
      <w:pPr>
        <w:pStyle w:val="ConsPlusNormal"/>
        <w:jc w:val="both"/>
      </w:pPr>
    </w:p>
    <w:p w:rsidR="00847B33" w:rsidRPr="000F0C6D" w:rsidRDefault="00847B33">
      <w:pPr>
        <w:pStyle w:val="ConsPlusNormal"/>
        <w:ind w:firstLine="540"/>
        <w:jc w:val="both"/>
      </w:pPr>
      <w:r w:rsidRPr="000F0C6D">
        <w:t xml:space="preserve">Инвестиционный налоговый вычет, установленный </w:t>
      </w:r>
      <w:hyperlink r:id="rId9" w:history="1">
        <w:r w:rsidRPr="000F0C6D">
          <w:t>статьей 286.1</w:t>
        </w:r>
      </w:hyperlink>
      <w:r w:rsidRPr="000F0C6D">
        <w:t xml:space="preserve"> Налогового кодекса Российской Федерации, в отношении расходов налогоплательщика, указанных в </w:t>
      </w:r>
      <w:hyperlink r:id="rId10" w:history="1">
        <w:r w:rsidRPr="000F0C6D">
          <w:t>подпунктах 1</w:t>
        </w:r>
      </w:hyperlink>
      <w:r w:rsidRPr="000F0C6D">
        <w:t xml:space="preserve"> и </w:t>
      </w:r>
      <w:hyperlink r:id="rId11" w:history="1">
        <w:r w:rsidRPr="000F0C6D">
          <w:t>2 пункта 2 статьи 286.1</w:t>
        </w:r>
      </w:hyperlink>
      <w:r w:rsidRPr="000F0C6D">
        <w:t xml:space="preserve"> Налогового кодекса Российской Федерации, применительно к объектам основных средств, относящимся к организациям или обособленным подразделениям организаций, расположенным на территории Волгоградской области (далее - инвестиционный налоговый вычет), вправе применять: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>организации - участники национального проекта "Производительность труда и поддержка занятости", заключившие соглашение о взаимодействии при реализации мероприятий национального проекта "Производительность труда и поддержка занятости" с комитетом экономической политики и развития Волгоградской области (далее - соглашение о взаимодействии);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>организации, являющиеся инвесторами и заключившие инвестиционное соглашение с Администрацией Волгоградской области после 1 января 2021 года.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>Условием предоставления инвестиционного налогового вычета является: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lastRenderedPageBreak/>
        <w:t>для организаций, указанных в абзаце втором части первой настоящей статьи, - наличие действующего соглашения о взаимодействии;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>для организаций, указанных в абзаце третьем части первой настоящей статьи, - наличие действующего инвестиционного соглашения с Администрацией Волгоградской области.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>Организации, являющиеся инвесторами и заключившие инвестиционное соглашение с Администрацией Волгоградской области после 1 января 2021 года, имеют право воспользоваться инвестиционным налоговым вычетом в соответствии с абзацем третьим части первой настоящей статьи в случае, если ими не применяются ставки по налогу на прибыль организаций, установленные пунктом 3.1 статьи 1 настоящего Закона.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 xml:space="preserve">Предельный размер расходов, указанных в </w:t>
      </w:r>
      <w:hyperlink r:id="rId12" w:history="1">
        <w:r w:rsidRPr="000F0C6D">
          <w:t>подпунктах 1</w:t>
        </w:r>
      </w:hyperlink>
      <w:r w:rsidRPr="000F0C6D">
        <w:t xml:space="preserve"> и </w:t>
      </w:r>
      <w:hyperlink r:id="rId13" w:history="1">
        <w:r w:rsidRPr="000F0C6D">
          <w:t>2 пункта 2 статьи 286.1</w:t>
        </w:r>
      </w:hyperlink>
      <w:r w:rsidRPr="000F0C6D">
        <w:t xml:space="preserve"> Налогового кодекса Российской Федерации и учитываемых при определении размера инвестиционного налогового вычета текущего налогового (отчетного) периода, составляет 90 процентов суммы расходов, составляющей первоначальную стоимость основного средства в соответствии с </w:t>
      </w:r>
      <w:hyperlink r:id="rId14" w:history="1">
        <w:r w:rsidRPr="000F0C6D">
          <w:t>абзацем вторым пункта 1 статьи 257</w:t>
        </w:r>
      </w:hyperlink>
      <w:r w:rsidRPr="000F0C6D">
        <w:t xml:space="preserve"> Налогового кодекса Российской Федерации, и (или) 90 процентов суммы расходов, составляющей величину изменения первоначальной стоимости основного средства в случаях, указанных в </w:t>
      </w:r>
      <w:hyperlink r:id="rId15" w:history="1">
        <w:r w:rsidRPr="000F0C6D">
          <w:t>пункте 2 статьи 257</w:t>
        </w:r>
      </w:hyperlink>
      <w:r w:rsidRPr="000F0C6D">
        <w:t xml:space="preserve"> Налогового кодекса Российской Федерации (за исключением частичной ликвидации основного средства).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>В целях применения инвестиционного налогового вычета ставка налога на прибыль организаций, используемая для определения предельной величины инвестиционного налогового вычета, устанавливается в размере 10 процентов.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>Инвестиционный налоговый вычет текущего налогового (отчетного) периода в части, превышающей предельную величину инвестиционного налогового вычета (неиспользованный инвестиционный налоговый вычет), может быть использован для уменьшения сумм налога (авансового платежа), подлежащих зачислению в доходную часть областного бюджета, в пределах трех последовательных налоговых (отчетных) периодов применения инвестиционного налогового вычета.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 xml:space="preserve">Право на применение инвестиционного налогового вычета, предоставляемое организациям, распространяется на объекты основных средств, предусмотренные </w:t>
      </w:r>
      <w:hyperlink r:id="rId16" w:history="1">
        <w:r w:rsidRPr="000F0C6D">
          <w:t>абзацем первым пункта 4 статьи 286.1</w:t>
        </w:r>
      </w:hyperlink>
      <w:r w:rsidRPr="000F0C6D">
        <w:t xml:space="preserve"> Налогового кодекса Российской Федерации, за исключением следующих объектов основных средств: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 xml:space="preserve">легковые автомобили, включенные в перечень легковых автомобилей средней стоимостью от 3 миллионов рублей, определяемый в соответствии с </w:t>
      </w:r>
      <w:hyperlink r:id="rId17" w:history="1">
        <w:r w:rsidRPr="000F0C6D">
          <w:t>пунктом 2 статьи 362</w:t>
        </w:r>
      </w:hyperlink>
      <w:r w:rsidRPr="000F0C6D">
        <w:t xml:space="preserve"> Налогового кодекса Российской Федерации;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>мотоциклы;</w:t>
      </w:r>
    </w:p>
    <w:p w:rsidR="00847B33" w:rsidRPr="000F0C6D" w:rsidRDefault="00847B33">
      <w:pPr>
        <w:pStyle w:val="ConsPlusNormal"/>
        <w:spacing w:before="220"/>
        <w:ind w:firstLine="540"/>
        <w:jc w:val="both"/>
      </w:pPr>
      <w:r w:rsidRPr="000F0C6D">
        <w:t>спортивные, туристские и прогулочные суда.".</w:t>
      </w:r>
    </w:p>
    <w:p w:rsidR="00847B33" w:rsidRPr="000F0C6D" w:rsidRDefault="00847B33">
      <w:pPr>
        <w:pStyle w:val="ConsPlusNormal"/>
        <w:jc w:val="both"/>
      </w:pPr>
    </w:p>
    <w:p w:rsidR="00847B33" w:rsidRPr="000F0C6D" w:rsidRDefault="00847B33">
      <w:pPr>
        <w:pStyle w:val="ConsPlusTitle"/>
        <w:ind w:firstLine="540"/>
        <w:jc w:val="both"/>
        <w:outlineLvl w:val="0"/>
      </w:pPr>
      <w:r w:rsidRPr="000F0C6D">
        <w:t>Статья 2</w:t>
      </w:r>
    </w:p>
    <w:p w:rsidR="00847B33" w:rsidRDefault="00847B33">
      <w:pPr>
        <w:pStyle w:val="ConsPlusNormal"/>
        <w:jc w:val="both"/>
      </w:pPr>
    </w:p>
    <w:p w:rsidR="00847B33" w:rsidRDefault="00847B33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применяется к правоотношениям, возникающим с 1 января 2021 года.</w:t>
      </w:r>
    </w:p>
    <w:p w:rsidR="00847B33" w:rsidRDefault="00847B33">
      <w:pPr>
        <w:pStyle w:val="ConsPlusNormal"/>
        <w:jc w:val="both"/>
      </w:pPr>
    </w:p>
    <w:p w:rsidR="00847B33" w:rsidRDefault="00847B33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847B33" w:rsidRDefault="00847B33">
      <w:pPr>
        <w:pStyle w:val="ConsPlusNormal"/>
        <w:jc w:val="right"/>
      </w:pPr>
      <w:r>
        <w:t>Волгоградской области</w:t>
      </w:r>
    </w:p>
    <w:p w:rsidR="00847B33" w:rsidRDefault="00847B33">
      <w:pPr>
        <w:pStyle w:val="ConsPlusNormal"/>
        <w:jc w:val="right"/>
      </w:pPr>
      <w:r>
        <w:t>Е.А.ХАРИЧКИН</w:t>
      </w:r>
    </w:p>
    <w:p w:rsidR="00847B33" w:rsidRDefault="00847B33">
      <w:pPr>
        <w:pStyle w:val="ConsPlusNormal"/>
      </w:pPr>
      <w:r>
        <w:t>26 декабря 2020 года</w:t>
      </w:r>
    </w:p>
    <w:p w:rsidR="00847B33" w:rsidRDefault="00847B33">
      <w:pPr>
        <w:pStyle w:val="ConsPlusNormal"/>
        <w:spacing w:before="220"/>
      </w:pPr>
      <w:r>
        <w:t>N 136-ОД</w:t>
      </w:r>
    </w:p>
    <w:p w:rsidR="00847B33" w:rsidRDefault="00847B33">
      <w:pPr>
        <w:pStyle w:val="ConsPlusNormal"/>
        <w:jc w:val="both"/>
      </w:pPr>
    </w:p>
    <w:p w:rsidR="00847B33" w:rsidRDefault="00847B33">
      <w:pPr>
        <w:pStyle w:val="ConsPlusNormal"/>
        <w:jc w:val="both"/>
      </w:pPr>
    </w:p>
    <w:p w:rsidR="003874F4" w:rsidRDefault="003874F4"/>
    <w:sectPr w:rsidR="003874F4" w:rsidSect="000F0C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33"/>
    <w:rsid w:val="000F0C6D"/>
    <w:rsid w:val="003874F4"/>
    <w:rsid w:val="0084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738010-3CFF-4BB4-B1F3-9609AF6B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7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7B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5DD0A6E7D08E0CB50475C8D2023EC73D984ACE58B18B744CE3304FDB177D518EA1EE7F1986424954AB857B5244D3D2A570795294BD134VBV6G" TargetMode="External"/><Relationship Id="rId13" Type="http://schemas.openxmlformats.org/officeDocument/2006/relationships/hyperlink" Target="consultantplus://offline/ref=EC25DD0A6E7D08E0CB5059519B4C7CE970D4D2A7E78415E81B9A3553A2E1718058AA18B2B5DB6A2F9F15BD42A47C41383049068A3549D3V3V7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25DD0A6E7D08E0CB50475C8D2023EC73D984ACE58B18B744CE3304FDB177D518EA1EE7F1986424944AB857B5244D3D2A570795294BD134VBV6G" TargetMode="External"/><Relationship Id="rId12" Type="http://schemas.openxmlformats.org/officeDocument/2006/relationships/hyperlink" Target="consultantplus://offline/ref=EC25DD0A6E7D08E0CB5059519B4C7CE970D4D2A7E78415E81B9A3553A2E1718058AA18B2B5DB6A209F15BD42A47C41383049068A3549D3V3V7G" TargetMode="External"/><Relationship Id="rId17" Type="http://schemas.openxmlformats.org/officeDocument/2006/relationships/hyperlink" Target="consultantplus://offline/ref=EC25DD0A6E7D08E0CB5059519B4C7CE970D4D2A7E78415E81B9A3553A2E1718058AA18B1B1DF6A2CC010A853FC7044222E481996374BVDV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25DD0A6E7D08E0CB5059519B4C7CE970D4D2A7E78415E81B9A3553A2E1718058AA18B2B5DB6D219F15BD42A47C41383049068A3549D3V3V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25DD0A6E7D08E0CB50475C8D2023EC73D984ACE58B18B744CE3304FDB177D518EA1EE7F1986424944AB857B5244D3D2A570795294BD134VBV6G" TargetMode="External"/><Relationship Id="rId11" Type="http://schemas.openxmlformats.org/officeDocument/2006/relationships/hyperlink" Target="consultantplus://offline/ref=EC25DD0A6E7D08E0CB5059519B4C7CE970D4D2A7E78415E81B9A3553A2E1718058AA18B2B5DB6A2F9F15BD42A47C41383049068A3549D3V3V7G" TargetMode="External"/><Relationship Id="rId5" Type="http://schemas.openxmlformats.org/officeDocument/2006/relationships/hyperlink" Target="consultantplus://offline/ref=EC25DD0A6E7D08E0CB50475C8D2023EC73D984ACE58B18B744CE3304FDB177D518EA1EE7F1986424944AB857B5244D3D2A570795294BD134VBV6G" TargetMode="External"/><Relationship Id="rId15" Type="http://schemas.openxmlformats.org/officeDocument/2006/relationships/hyperlink" Target="consultantplus://offline/ref=EC25DD0A6E7D08E0CB5059519B4C7CE970D4D2A7E78415E81B9A3553A2E1718058AA18B2B2DE692F954AB857B5244D3D2A570795294BD134VBV6G" TargetMode="External"/><Relationship Id="rId10" Type="http://schemas.openxmlformats.org/officeDocument/2006/relationships/hyperlink" Target="consultantplus://offline/ref=EC25DD0A6E7D08E0CB5059519B4C7CE970D4D2A7E78415E81B9A3553A2E1718058AA18B2B5DB6A209F15BD42A47C41383049068A3549D3V3V7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EC25DD0A6E7D08E0CB50475C8D2023EC73D984ACE58B18B744CE3304FDB177D518EA1EE7E3983C2A9545F206F06F423C2CV4V8G" TargetMode="External"/><Relationship Id="rId9" Type="http://schemas.openxmlformats.org/officeDocument/2006/relationships/hyperlink" Target="consultantplus://offline/ref=EC25DD0A6E7D08E0CB5059519B4C7CE970D4D2A7E78415E81B9A3553A2E1718058AA18B2B7DC612F9F15BD42A47C41383049068A3549D3V3V7G" TargetMode="External"/><Relationship Id="rId14" Type="http://schemas.openxmlformats.org/officeDocument/2006/relationships/hyperlink" Target="consultantplus://offline/ref=EC25DD0A6E7D08E0CB5059519B4C7CE970D4D2A7E78415E81B9A3553A2E1718058AA18B7B0DB692CC010A853FC7044222E481996374BVDV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2021-01-14T06:21:00Z</dcterms:created>
  <dcterms:modified xsi:type="dcterms:W3CDTF">2021-01-14T06:33:00Z</dcterms:modified>
</cp:coreProperties>
</file>