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EC1" w:rsidRPr="00EB7EC1" w:rsidRDefault="00EB7EC1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ДУМА ГОРОДСКОГО ПОСЕЛЕНИЯ ГОРОД ДУБОВКА</w:t>
      </w:r>
    </w:p>
    <w:p w:rsidR="00EB7EC1" w:rsidRPr="00EB7EC1" w:rsidRDefault="00EB7EC1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ДУБОВСКОГО МУНИЦИПАЛЬНОГО РАЙОНА</w:t>
      </w:r>
    </w:p>
    <w:p w:rsidR="00EB7EC1" w:rsidRPr="00EB7EC1" w:rsidRDefault="00EB7EC1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ВОЛГОГРАДСКОЙ ОБЛАСТИ</w:t>
      </w:r>
    </w:p>
    <w:p w:rsidR="00EB7EC1" w:rsidRPr="00EB7EC1" w:rsidRDefault="00EB7EC1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</w:p>
    <w:p w:rsidR="00EB7EC1" w:rsidRPr="00EB7EC1" w:rsidRDefault="00EB7EC1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РЕШЕНИЕ</w:t>
      </w:r>
    </w:p>
    <w:p w:rsidR="00EB7EC1" w:rsidRPr="00EB7EC1" w:rsidRDefault="00EB7EC1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от 23 ноября 2017 г. N 42/162</w:t>
      </w:r>
    </w:p>
    <w:p w:rsidR="00EB7EC1" w:rsidRPr="00EB7EC1" w:rsidRDefault="00EB7EC1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</w:p>
    <w:p w:rsidR="00EB7EC1" w:rsidRPr="00EB7EC1" w:rsidRDefault="00EB7EC1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О МЕСТНЫХ НАЛОГАХ НА ТЕРРИТОРИИ ГОРОДСКОГО</w:t>
      </w:r>
    </w:p>
    <w:p w:rsidR="00EB7EC1" w:rsidRDefault="00EB7EC1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ПОСЕЛЕНИЯ Г. ДУБОВКА НА 2018 ГОД</w:t>
      </w:r>
    </w:p>
    <w:p w:rsidR="00EB7EC1" w:rsidRPr="00EB7EC1" w:rsidRDefault="00EB7EC1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bookmarkStart w:id="0" w:name="_GoBack"/>
      <w:bookmarkEnd w:id="0"/>
    </w:p>
    <w:p w:rsidR="00EB7EC1" w:rsidRPr="00EB7EC1" w:rsidRDefault="00EB7EC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 xml:space="preserve">В соответствии с Федеральным </w:t>
      </w:r>
      <w:hyperlink r:id="rId4" w:history="1">
        <w:r w:rsidRPr="00EB7EC1">
          <w:rPr>
            <w:rFonts w:ascii="Arial" w:hAnsi="Arial" w:cs="Arial"/>
            <w:color w:val="000000" w:themeColor="text1"/>
            <w:szCs w:val="22"/>
          </w:rPr>
          <w:t>законом</w:t>
        </w:r>
      </w:hyperlink>
      <w:r w:rsidRPr="00EB7EC1">
        <w:rPr>
          <w:rFonts w:ascii="Arial" w:hAnsi="Arial" w:cs="Arial"/>
          <w:color w:val="000000" w:themeColor="text1"/>
          <w:szCs w:val="22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5" w:history="1">
        <w:r w:rsidRPr="00EB7EC1">
          <w:rPr>
            <w:rFonts w:ascii="Arial" w:hAnsi="Arial" w:cs="Arial"/>
            <w:color w:val="000000" w:themeColor="text1"/>
            <w:szCs w:val="22"/>
          </w:rPr>
          <w:t>ст. 15</w:t>
        </w:r>
      </w:hyperlink>
      <w:r w:rsidRPr="00EB7EC1">
        <w:rPr>
          <w:rFonts w:ascii="Arial" w:hAnsi="Arial" w:cs="Arial"/>
          <w:color w:val="000000" w:themeColor="text1"/>
          <w:szCs w:val="22"/>
        </w:rPr>
        <w:t xml:space="preserve"> части первой, </w:t>
      </w:r>
      <w:hyperlink r:id="rId6" w:history="1">
        <w:r w:rsidRPr="00EB7EC1">
          <w:rPr>
            <w:rFonts w:ascii="Arial" w:hAnsi="Arial" w:cs="Arial"/>
            <w:color w:val="000000" w:themeColor="text1"/>
            <w:szCs w:val="22"/>
          </w:rPr>
          <w:t>гл. 31</w:t>
        </w:r>
      </w:hyperlink>
      <w:r w:rsidRPr="00EB7EC1">
        <w:rPr>
          <w:rFonts w:ascii="Arial" w:hAnsi="Arial" w:cs="Arial"/>
          <w:color w:val="000000" w:themeColor="text1"/>
          <w:szCs w:val="22"/>
        </w:rPr>
        <w:t xml:space="preserve">, </w:t>
      </w:r>
      <w:hyperlink r:id="rId7" w:history="1">
        <w:r w:rsidRPr="00EB7EC1">
          <w:rPr>
            <w:rFonts w:ascii="Arial" w:hAnsi="Arial" w:cs="Arial"/>
            <w:color w:val="000000" w:themeColor="text1"/>
            <w:szCs w:val="22"/>
          </w:rPr>
          <w:t>32</w:t>
        </w:r>
      </w:hyperlink>
      <w:r w:rsidRPr="00EB7EC1">
        <w:rPr>
          <w:rFonts w:ascii="Arial" w:hAnsi="Arial" w:cs="Arial"/>
          <w:color w:val="000000" w:themeColor="text1"/>
          <w:szCs w:val="22"/>
        </w:rPr>
        <w:t xml:space="preserve"> части второй Налогового кодекса РФ, </w:t>
      </w:r>
      <w:hyperlink r:id="rId8" w:history="1">
        <w:r w:rsidRPr="00EB7EC1">
          <w:rPr>
            <w:rFonts w:ascii="Arial" w:hAnsi="Arial" w:cs="Arial"/>
            <w:color w:val="000000" w:themeColor="text1"/>
            <w:szCs w:val="22"/>
          </w:rPr>
          <w:t>Уставом</w:t>
        </w:r>
      </w:hyperlink>
      <w:r w:rsidRPr="00EB7EC1">
        <w:rPr>
          <w:rFonts w:ascii="Arial" w:hAnsi="Arial" w:cs="Arial"/>
          <w:color w:val="000000" w:themeColor="text1"/>
          <w:szCs w:val="22"/>
        </w:rPr>
        <w:t xml:space="preserve"> городского поселения г. Дубовка Дума городского поселения г. Дубовка решила: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Установить на территории городского поселения г. Дубовка следующие местные налоги: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1. Налог на имущество физических лиц.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 xml:space="preserve">1.1. В соответствии со </w:t>
      </w:r>
      <w:hyperlink r:id="rId9" w:history="1">
        <w:r w:rsidRPr="00EB7EC1">
          <w:rPr>
            <w:rFonts w:ascii="Arial" w:hAnsi="Arial" w:cs="Arial"/>
            <w:color w:val="000000" w:themeColor="text1"/>
            <w:szCs w:val="22"/>
          </w:rPr>
          <w:t>ст. 401 главы 32</w:t>
        </w:r>
      </w:hyperlink>
      <w:r w:rsidRPr="00EB7EC1">
        <w:rPr>
          <w:rFonts w:ascii="Arial" w:hAnsi="Arial" w:cs="Arial"/>
          <w:color w:val="000000" w:themeColor="text1"/>
          <w:szCs w:val="22"/>
        </w:rPr>
        <w:t xml:space="preserve"> части второй Налогового кодекса РФ объектом налогообложения признается следующее имущество, находящееся в собственности физических лиц и расположенное на территории городского поселения город Дубовка: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- жилой дом;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- жилое помещение (квартира, комната);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 xml:space="preserve">- гараж, </w:t>
      </w:r>
      <w:proofErr w:type="spellStart"/>
      <w:r w:rsidRPr="00EB7EC1">
        <w:rPr>
          <w:rFonts w:ascii="Arial" w:hAnsi="Arial" w:cs="Arial"/>
          <w:color w:val="000000" w:themeColor="text1"/>
          <w:szCs w:val="22"/>
        </w:rPr>
        <w:t>машино</w:t>
      </w:r>
      <w:proofErr w:type="spellEnd"/>
      <w:r w:rsidRPr="00EB7EC1">
        <w:rPr>
          <w:rFonts w:ascii="Arial" w:hAnsi="Arial" w:cs="Arial"/>
          <w:color w:val="000000" w:themeColor="text1"/>
          <w:szCs w:val="22"/>
        </w:rPr>
        <w:t>-место;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- единый недвижимый комплекс;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- объект незавершенного строительства;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- иные здание, строение, сооружение, помещение, а также доля в праве общей собственности на все указанное имущество.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Жилые помещения, расположенные на земельных участках, предоставленных для ведения личного подсобного хозяйства, дачного хозяйства, огородничества, садоводства, индивидуального жилищного строительства, относятся к жилым домам.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1.2. Налоговая база в отношении объектов налогообложения определяется исходя из их инвентаризационной стоимости.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1.3. Установить ставки налога на имущество физических лиц на основе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в следующих размерах:</w:t>
      </w:r>
    </w:p>
    <w:p w:rsidR="00EB7EC1" w:rsidRPr="00EB7EC1" w:rsidRDefault="00EB7EC1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83"/>
        <w:gridCol w:w="1587"/>
      </w:tblGrid>
      <w:tr w:rsidR="00EB7EC1" w:rsidRPr="00EB7EC1">
        <w:tc>
          <w:tcPr>
            <w:tcW w:w="7483" w:type="dxa"/>
          </w:tcPr>
          <w:p w:rsidR="00EB7EC1" w:rsidRPr="00EB7EC1" w:rsidRDefault="00EB7EC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B7EC1">
              <w:rPr>
                <w:rFonts w:ascii="Arial" w:hAnsi="Arial" w:cs="Arial"/>
                <w:color w:val="000000" w:themeColor="text1"/>
                <w:szCs w:val="22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587" w:type="dxa"/>
          </w:tcPr>
          <w:p w:rsidR="00EB7EC1" w:rsidRPr="00EB7EC1" w:rsidRDefault="00EB7EC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B7EC1">
              <w:rPr>
                <w:rFonts w:ascii="Arial" w:hAnsi="Arial" w:cs="Arial"/>
                <w:color w:val="000000" w:themeColor="text1"/>
                <w:szCs w:val="22"/>
              </w:rPr>
              <w:t>Ставка налога</w:t>
            </w:r>
          </w:p>
        </w:tc>
      </w:tr>
      <w:tr w:rsidR="00EB7EC1" w:rsidRPr="00EB7EC1">
        <w:tc>
          <w:tcPr>
            <w:tcW w:w="7483" w:type="dxa"/>
          </w:tcPr>
          <w:p w:rsidR="00EB7EC1" w:rsidRPr="00EB7EC1" w:rsidRDefault="00EB7EC1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B7EC1">
              <w:rPr>
                <w:rFonts w:ascii="Arial" w:hAnsi="Arial" w:cs="Arial"/>
                <w:color w:val="000000" w:themeColor="text1"/>
                <w:szCs w:val="22"/>
              </w:rPr>
              <w:t>До 300 000 рублей (включительно)</w:t>
            </w:r>
          </w:p>
        </w:tc>
        <w:tc>
          <w:tcPr>
            <w:tcW w:w="1587" w:type="dxa"/>
          </w:tcPr>
          <w:p w:rsidR="00EB7EC1" w:rsidRPr="00EB7EC1" w:rsidRDefault="00EB7EC1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B7EC1">
              <w:rPr>
                <w:rFonts w:ascii="Arial" w:hAnsi="Arial" w:cs="Arial"/>
                <w:color w:val="000000" w:themeColor="text1"/>
                <w:szCs w:val="22"/>
              </w:rPr>
              <w:t>0,1 процента</w:t>
            </w:r>
          </w:p>
        </w:tc>
      </w:tr>
      <w:tr w:rsidR="00EB7EC1" w:rsidRPr="00EB7EC1">
        <w:tc>
          <w:tcPr>
            <w:tcW w:w="7483" w:type="dxa"/>
          </w:tcPr>
          <w:p w:rsidR="00EB7EC1" w:rsidRPr="00EB7EC1" w:rsidRDefault="00EB7EC1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B7EC1">
              <w:rPr>
                <w:rFonts w:ascii="Arial" w:hAnsi="Arial" w:cs="Arial"/>
                <w:color w:val="000000" w:themeColor="text1"/>
                <w:szCs w:val="22"/>
              </w:rPr>
              <w:t>От 300 000 рублей до 500 000 рублей (включительно)</w:t>
            </w:r>
          </w:p>
        </w:tc>
        <w:tc>
          <w:tcPr>
            <w:tcW w:w="1587" w:type="dxa"/>
          </w:tcPr>
          <w:p w:rsidR="00EB7EC1" w:rsidRPr="00EB7EC1" w:rsidRDefault="00EB7EC1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B7EC1">
              <w:rPr>
                <w:rFonts w:ascii="Arial" w:hAnsi="Arial" w:cs="Arial"/>
                <w:color w:val="000000" w:themeColor="text1"/>
                <w:szCs w:val="22"/>
              </w:rPr>
              <w:t>0,3 процента</w:t>
            </w:r>
          </w:p>
        </w:tc>
      </w:tr>
      <w:tr w:rsidR="00EB7EC1" w:rsidRPr="00EB7EC1">
        <w:tc>
          <w:tcPr>
            <w:tcW w:w="7483" w:type="dxa"/>
          </w:tcPr>
          <w:p w:rsidR="00EB7EC1" w:rsidRPr="00EB7EC1" w:rsidRDefault="00EB7EC1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B7EC1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Свыше 500 000 рублей до 1 000 000 рублей (включительно)</w:t>
            </w:r>
          </w:p>
        </w:tc>
        <w:tc>
          <w:tcPr>
            <w:tcW w:w="1587" w:type="dxa"/>
          </w:tcPr>
          <w:p w:rsidR="00EB7EC1" w:rsidRPr="00EB7EC1" w:rsidRDefault="00EB7EC1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B7EC1">
              <w:rPr>
                <w:rFonts w:ascii="Arial" w:hAnsi="Arial" w:cs="Arial"/>
                <w:color w:val="000000" w:themeColor="text1"/>
                <w:szCs w:val="22"/>
              </w:rPr>
              <w:t>1 процент</w:t>
            </w:r>
          </w:p>
        </w:tc>
      </w:tr>
      <w:tr w:rsidR="00EB7EC1" w:rsidRPr="00EB7EC1">
        <w:tc>
          <w:tcPr>
            <w:tcW w:w="7483" w:type="dxa"/>
          </w:tcPr>
          <w:p w:rsidR="00EB7EC1" w:rsidRPr="00EB7EC1" w:rsidRDefault="00EB7EC1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B7EC1">
              <w:rPr>
                <w:rFonts w:ascii="Arial" w:hAnsi="Arial" w:cs="Arial"/>
                <w:color w:val="000000" w:themeColor="text1"/>
                <w:szCs w:val="22"/>
              </w:rPr>
              <w:t>Свыше 1 000 000 рублей</w:t>
            </w:r>
          </w:p>
        </w:tc>
        <w:tc>
          <w:tcPr>
            <w:tcW w:w="1587" w:type="dxa"/>
          </w:tcPr>
          <w:p w:rsidR="00EB7EC1" w:rsidRPr="00EB7EC1" w:rsidRDefault="00EB7EC1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B7EC1">
              <w:rPr>
                <w:rFonts w:ascii="Arial" w:hAnsi="Arial" w:cs="Arial"/>
                <w:color w:val="000000" w:themeColor="text1"/>
                <w:szCs w:val="22"/>
              </w:rPr>
              <w:t>2 процента</w:t>
            </w:r>
          </w:p>
        </w:tc>
      </w:tr>
    </w:tbl>
    <w:p w:rsidR="00EB7EC1" w:rsidRPr="00EB7EC1" w:rsidRDefault="00EB7EC1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EB7EC1" w:rsidRPr="00EB7EC1" w:rsidRDefault="00EB7EC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 xml:space="preserve">1.4. Льготы, установленные в соответствии со </w:t>
      </w:r>
      <w:hyperlink r:id="rId10" w:history="1">
        <w:r w:rsidRPr="00EB7EC1">
          <w:rPr>
            <w:rFonts w:ascii="Arial" w:hAnsi="Arial" w:cs="Arial"/>
            <w:color w:val="000000" w:themeColor="text1"/>
            <w:szCs w:val="22"/>
          </w:rPr>
          <w:t>статьей 407</w:t>
        </w:r>
      </w:hyperlink>
      <w:r w:rsidRPr="00EB7EC1">
        <w:rPr>
          <w:rFonts w:ascii="Arial" w:hAnsi="Arial" w:cs="Arial"/>
          <w:color w:val="000000" w:themeColor="text1"/>
          <w:szCs w:val="22"/>
        </w:rPr>
        <w:t xml:space="preserve"> части второй Налогового кодекса РФ для физических лиц, имеющих в собственности имущество, а также долю в праве общего имущества, являющиеся объектом налогообложения и расположенные на территории городского поселения город Дубовка, действуют в полном объеме.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 xml:space="preserve">1.5. К льготам, установленным в соответствии со </w:t>
      </w:r>
      <w:hyperlink r:id="rId11" w:history="1">
        <w:r w:rsidRPr="00EB7EC1">
          <w:rPr>
            <w:rFonts w:ascii="Arial" w:hAnsi="Arial" w:cs="Arial"/>
            <w:color w:val="000000" w:themeColor="text1"/>
            <w:szCs w:val="22"/>
          </w:rPr>
          <w:t>ст. 407</w:t>
        </w:r>
      </w:hyperlink>
      <w:r w:rsidRPr="00EB7EC1">
        <w:rPr>
          <w:rFonts w:ascii="Arial" w:hAnsi="Arial" w:cs="Arial"/>
          <w:color w:val="000000" w:themeColor="text1"/>
          <w:szCs w:val="22"/>
        </w:rPr>
        <w:t xml:space="preserve"> Налогового кодекса Российской Федерации, дополнительно установить налоговые льготы следующей категории налогоплательщиков: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1.5.1. Почетный гражданин г. Дубовки, имеющий в собственности имущество, а также долю в праве общего имущества, являющиеся объектом налогообложения на территории городского поселения город Дубовка.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1.6. Уплата налога производится не позднее 1 декабря года, следующего за годом, за который исчислен налог.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2. Земельный налог.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Установить на территории городского поселения город Дубовка налоговые ставки, льготы, порядок и сроки уплаты налога на земли, находящиеся в пределах границ городского поселения г. Дубовка.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 xml:space="preserve">2.1. Плательщиком налога признаются организации и физические лица, обладающие земельными участками, признаваемыми объектом налогообложения в соответствии со </w:t>
      </w:r>
      <w:hyperlink r:id="rId12" w:history="1">
        <w:r w:rsidRPr="00EB7EC1">
          <w:rPr>
            <w:rFonts w:ascii="Arial" w:hAnsi="Arial" w:cs="Arial"/>
            <w:color w:val="000000" w:themeColor="text1"/>
            <w:szCs w:val="22"/>
          </w:rPr>
          <w:t>ст. 389</w:t>
        </w:r>
      </w:hyperlink>
      <w:r w:rsidRPr="00EB7EC1">
        <w:rPr>
          <w:rFonts w:ascii="Arial" w:hAnsi="Arial" w:cs="Arial"/>
          <w:color w:val="000000" w:themeColor="text1"/>
          <w:szCs w:val="22"/>
        </w:rPr>
        <w:t xml:space="preserve"> Налогового кодекса РФ, на праве собственности, праве постоянного (бессрочного) пользования или праве пожизненного наследуемого владения в пределах границ городского поселения город Дубовка.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2.2. Объектом налогообложения признаются земельные участки, расположенные в пределах территории городского поселения город Дубовка.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 xml:space="preserve">2.3. Установить, что налоговая база определяется как кадастровая стоимость земельного участка, признаваемого объектом налогообложения в соответствии со </w:t>
      </w:r>
      <w:hyperlink r:id="rId13" w:history="1">
        <w:r w:rsidRPr="00EB7EC1">
          <w:rPr>
            <w:rFonts w:ascii="Arial" w:hAnsi="Arial" w:cs="Arial"/>
            <w:color w:val="000000" w:themeColor="text1"/>
            <w:szCs w:val="22"/>
          </w:rPr>
          <w:t>статьей 389</w:t>
        </w:r>
      </w:hyperlink>
      <w:r w:rsidRPr="00EB7EC1">
        <w:rPr>
          <w:rFonts w:ascii="Arial" w:hAnsi="Arial" w:cs="Arial"/>
          <w:color w:val="000000" w:themeColor="text1"/>
          <w:szCs w:val="22"/>
        </w:rPr>
        <w:t xml:space="preserve"> Налогового кодекса Российской Федерации.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Налоговая база определяется в отношении каждого земельного участка как кадастровая стоимость по состоянию на 1 января года, являющегося налоговым периодом.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В отношении земельного участка, образованного в течение налогового периода, налоговая база в данном налоговом периоде определяется как его кадастровая стоимость на дату постановки такого земельного участка на кадастровый учет.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2.4. Установить налоговые ставки в следующих размерах: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а) 0,3 процента от налоговой базы (кадастровой стоимости земельного участка) в отношении земельных участков: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- отнесенных к землям сельскохозяйственного назначения или к землям в составе зон сельскохозяйственного использования на территории городского поселения г. Дубовка и используемых для сельскохозяйственного производства;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 xml:space="preserve"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</w:t>
      </w:r>
      <w:r w:rsidRPr="00EB7EC1">
        <w:rPr>
          <w:rFonts w:ascii="Arial" w:hAnsi="Arial" w:cs="Arial"/>
          <w:color w:val="000000" w:themeColor="text1"/>
          <w:szCs w:val="22"/>
        </w:rPr>
        <w:lastRenderedPageBreak/>
        <w:t>инфраструктуры жилищно-коммунального комплекса) или приобретенных (предоставленных) для жилищного строительства;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-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- государственных бюджетных детских оздоровительных учреждений и государственных бюджетных учреждений здравоохранения, расположенных на территории городского поселения г. Дубовка, деятельность которых финансируется из средств бюджета Волгоградской области;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- муниципальных казенных (бюджетных) образовательных, спортивных учреждений и учреждений культуры, расположенных на территории городского поселения г. Дубовка, деятельность которых финансируется из районного бюджета Дубовского муниципального района Волгоградской области;</w:t>
      </w:r>
    </w:p>
    <w:p w:rsidR="00EB7EC1" w:rsidRPr="00EB7EC1" w:rsidRDefault="00EB7EC1">
      <w:pPr>
        <w:pStyle w:val="ConsPlusNormal"/>
        <w:spacing w:before="28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в) 1,5 процента от налоговой базы (кадастровой стоимости земельного участка) в отношении прочих земельных участков.</w:t>
      </w:r>
    </w:p>
    <w:p w:rsidR="00EB7EC1" w:rsidRPr="00EB7EC1" w:rsidRDefault="00EB7EC1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 xml:space="preserve">(п. 2.4 в ред. </w:t>
      </w:r>
      <w:hyperlink r:id="rId14" w:history="1">
        <w:r w:rsidRPr="00EB7EC1">
          <w:rPr>
            <w:rFonts w:ascii="Arial" w:hAnsi="Arial" w:cs="Arial"/>
            <w:color w:val="000000" w:themeColor="text1"/>
            <w:szCs w:val="22"/>
          </w:rPr>
          <w:t>решения</w:t>
        </w:r>
      </w:hyperlink>
      <w:r w:rsidRPr="00EB7EC1">
        <w:rPr>
          <w:rFonts w:ascii="Arial" w:hAnsi="Arial" w:cs="Arial"/>
          <w:color w:val="000000" w:themeColor="text1"/>
          <w:szCs w:val="22"/>
        </w:rPr>
        <w:t xml:space="preserve"> Думы городского поселения г. Дубовка Дубовского муниципального района Волгоградской обл. от 27.02.2018 N 48/185)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 xml:space="preserve">2.5. Льготы, установленные в соответствии со </w:t>
      </w:r>
      <w:hyperlink r:id="rId15" w:history="1">
        <w:r w:rsidRPr="00EB7EC1">
          <w:rPr>
            <w:rFonts w:ascii="Arial" w:hAnsi="Arial" w:cs="Arial"/>
            <w:color w:val="000000" w:themeColor="text1"/>
            <w:szCs w:val="22"/>
          </w:rPr>
          <w:t>статьей 395</w:t>
        </w:r>
      </w:hyperlink>
      <w:r w:rsidRPr="00EB7EC1">
        <w:rPr>
          <w:rFonts w:ascii="Arial" w:hAnsi="Arial" w:cs="Arial"/>
          <w:color w:val="000000" w:themeColor="text1"/>
          <w:szCs w:val="22"/>
        </w:rPr>
        <w:t xml:space="preserve"> Налогового кодекса (часть вторая) для организаций и физических лиц, имеющих в собственности земельные участки, являющиеся объектом налогообложения на территории городского поселения город Дубовка, действуют в полном объеме.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2.6. Освободить от налогообложения (налоговые льготы):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а) предприятия независимо от форм собственности и ведомственной принадлежности, предоставляющие жилищно-коммунальные услуги населению по тарифам, регулируемым органами местного самоуправления и Региональной службой по тарифам Волгоградской области;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б) муниципальные (казенные) бюджетные учреждения, финансируемые из бюджета городского поселения г. Дубовка;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в) почетных граждан городского поселения г. Дубовка, имеющих в собственности земельные участки, являющиеся объектом налогообложения на территории городского поселения г. Дубовка;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г) участников (инвалидов) Великой Отечественной войны и вдов участников (инвалидов) Великой Отечественной войны, ветеранов боевых действий;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д) семьи с детьми-инвалидами.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2.7. Налог (авансовые платежи по налогу) подлежат уплате в следующие сроки: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а) налогоплательщиками-организациями налог уплачивается по истечении налогового периода не позднее 15 февраля года, следующего за истекшим налоговым периодом, и определяется как разница между суммой налога и суммами подлежащих уплате в течение налогового периода авансовых платежей по налогу;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 xml:space="preserve">б) налогоплательщиками-организациями авансовые платежи по налогу уплачиваются не позднее 1 мая, 1 августа, 1 октября текущего налогового периода и определяются как одна четвертая соответствующей налоговой ставки процентной доли кадастровой </w:t>
      </w:r>
      <w:r w:rsidRPr="00EB7EC1">
        <w:rPr>
          <w:rFonts w:ascii="Arial" w:hAnsi="Arial" w:cs="Arial"/>
          <w:color w:val="000000" w:themeColor="text1"/>
          <w:szCs w:val="22"/>
        </w:rPr>
        <w:lastRenderedPageBreak/>
        <w:t>стоимости земельного участка по состоянию на 1 января года, являющегося налоговым периодом;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в) налогоплательщиками - физическими лицами налог уплачивается на основании налогового уведомления не позднее 1 декабря года, следующего за истекшим налоговым периодом.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3. Налоги вводятся на территории городского поселения г. Дубовка с 1 января 2018 года.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4. Настоящее решение подлежит опубликованию в средствах массовой информации не позднее 30 ноября 2017 г.</w:t>
      </w:r>
    </w:p>
    <w:p w:rsidR="00EB7EC1" w:rsidRPr="00EB7EC1" w:rsidRDefault="00EB7EC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7EC1">
        <w:rPr>
          <w:rFonts w:ascii="Arial" w:hAnsi="Arial" w:cs="Arial"/>
          <w:color w:val="000000" w:themeColor="text1"/>
          <w:szCs w:val="22"/>
        </w:rPr>
        <w:t>5. Настоящее решение вступает в силу с 1 января 2018 года, но не ранее чем по истечении одного месяца со дня его официального опубликования.</w:t>
      </w:r>
    </w:p>
    <w:p w:rsidR="00EB7EC1" w:rsidRPr="00EB7EC1" w:rsidRDefault="00EB7EC1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EB7EC1" w:rsidRPr="00EB7EC1" w:rsidRDefault="00EB7EC1">
      <w:pPr>
        <w:pStyle w:val="ConsPlusNormal"/>
        <w:jc w:val="right"/>
        <w:rPr>
          <w:rFonts w:ascii="Arial" w:hAnsi="Arial" w:cs="Arial"/>
          <w:i/>
          <w:color w:val="000000" w:themeColor="text1"/>
          <w:szCs w:val="22"/>
        </w:rPr>
      </w:pPr>
      <w:r w:rsidRPr="00EB7EC1">
        <w:rPr>
          <w:rFonts w:ascii="Arial" w:hAnsi="Arial" w:cs="Arial"/>
          <w:i/>
          <w:color w:val="000000" w:themeColor="text1"/>
          <w:szCs w:val="22"/>
        </w:rPr>
        <w:t>Председатель Думы</w:t>
      </w:r>
    </w:p>
    <w:p w:rsidR="00EB7EC1" w:rsidRPr="00EB7EC1" w:rsidRDefault="00EB7EC1">
      <w:pPr>
        <w:pStyle w:val="ConsPlusNormal"/>
        <w:jc w:val="right"/>
        <w:rPr>
          <w:rFonts w:ascii="Arial" w:hAnsi="Arial" w:cs="Arial"/>
          <w:i/>
          <w:color w:val="000000" w:themeColor="text1"/>
          <w:szCs w:val="22"/>
        </w:rPr>
      </w:pPr>
      <w:r w:rsidRPr="00EB7EC1">
        <w:rPr>
          <w:rFonts w:ascii="Arial" w:hAnsi="Arial" w:cs="Arial"/>
          <w:i/>
          <w:color w:val="000000" w:themeColor="text1"/>
          <w:szCs w:val="22"/>
        </w:rPr>
        <w:t>городского поселения</w:t>
      </w:r>
    </w:p>
    <w:p w:rsidR="00EB7EC1" w:rsidRPr="00EB7EC1" w:rsidRDefault="00EB7EC1">
      <w:pPr>
        <w:pStyle w:val="ConsPlusNormal"/>
        <w:jc w:val="right"/>
        <w:rPr>
          <w:rFonts w:ascii="Arial" w:hAnsi="Arial" w:cs="Arial"/>
          <w:i/>
          <w:color w:val="000000" w:themeColor="text1"/>
          <w:szCs w:val="22"/>
        </w:rPr>
      </w:pPr>
      <w:r w:rsidRPr="00EB7EC1">
        <w:rPr>
          <w:rFonts w:ascii="Arial" w:hAnsi="Arial" w:cs="Arial"/>
          <w:i/>
          <w:color w:val="000000" w:themeColor="text1"/>
          <w:szCs w:val="22"/>
        </w:rPr>
        <w:t>г. Дубовка</w:t>
      </w:r>
    </w:p>
    <w:p w:rsidR="00EB7EC1" w:rsidRPr="00EB7EC1" w:rsidRDefault="00EB7EC1">
      <w:pPr>
        <w:pStyle w:val="ConsPlusNormal"/>
        <w:jc w:val="right"/>
        <w:rPr>
          <w:rFonts w:ascii="Arial" w:hAnsi="Arial" w:cs="Arial"/>
          <w:i/>
          <w:color w:val="000000" w:themeColor="text1"/>
          <w:szCs w:val="22"/>
        </w:rPr>
      </w:pPr>
      <w:r w:rsidRPr="00EB7EC1">
        <w:rPr>
          <w:rFonts w:ascii="Arial" w:hAnsi="Arial" w:cs="Arial"/>
          <w:i/>
          <w:color w:val="000000" w:themeColor="text1"/>
          <w:szCs w:val="22"/>
        </w:rPr>
        <w:t>Т.В. Курышева</w:t>
      </w:r>
    </w:p>
    <w:p w:rsidR="00EB7EC1" w:rsidRPr="00EB7EC1" w:rsidRDefault="00EB7EC1">
      <w:pPr>
        <w:pStyle w:val="ConsPlusNormal"/>
        <w:jc w:val="both"/>
        <w:rPr>
          <w:rFonts w:ascii="Arial" w:hAnsi="Arial" w:cs="Arial"/>
          <w:i/>
          <w:color w:val="000000" w:themeColor="text1"/>
          <w:szCs w:val="22"/>
        </w:rPr>
      </w:pPr>
    </w:p>
    <w:p w:rsidR="00EB7EC1" w:rsidRPr="00EB7EC1" w:rsidRDefault="00EB7EC1">
      <w:pPr>
        <w:pStyle w:val="ConsPlusNormal"/>
        <w:jc w:val="right"/>
        <w:rPr>
          <w:rFonts w:ascii="Arial" w:hAnsi="Arial" w:cs="Arial"/>
          <w:i/>
          <w:color w:val="000000" w:themeColor="text1"/>
          <w:szCs w:val="22"/>
        </w:rPr>
      </w:pPr>
      <w:r w:rsidRPr="00EB7EC1">
        <w:rPr>
          <w:rFonts w:ascii="Arial" w:hAnsi="Arial" w:cs="Arial"/>
          <w:i/>
          <w:color w:val="000000" w:themeColor="text1"/>
          <w:szCs w:val="22"/>
        </w:rPr>
        <w:t>Глава городского</w:t>
      </w:r>
    </w:p>
    <w:p w:rsidR="00EB7EC1" w:rsidRPr="00EB7EC1" w:rsidRDefault="00EB7EC1">
      <w:pPr>
        <w:pStyle w:val="ConsPlusNormal"/>
        <w:jc w:val="right"/>
        <w:rPr>
          <w:rFonts w:ascii="Arial" w:hAnsi="Arial" w:cs="Arial"/>
          <w:i/>
          <w:color w:val="000000" w:themeColor="text1"/>
          <w:szCs w:val="22"/>
        </w:rPr>
      </w:pPr>
      <w:r w:rsidRPr="00EB7EC1">
        <w:rPr>
          <w:rFonts w:ascii="Arial" w:hAnsi="Arial" w:cs="Arial"/>
          <w:i/>
          <w:color w:val="000000" w:themeColor="text1"/>
          <w:szCs w:val="22"/>
        </w:rPr>
        <w:t>поселения г. Дубовка</w:t>
      </w:r>
    </w:p>
    <w:p w:rsidR="00EB7EC1" w:rsidRPr="00EB7EC1" w:rsidRDefault="00EB7EC1">
      <w:pPr>
        <w:pStyle w:val="ConsPlusNormal"/>
        <w:jc w:val="right"/>
        <w:rPr>
          <w:rFonts w:ascii="Arial" w:hAnsi="Arial" w:cs="Arial"/>
          <w:i/>
          <w:color w:val="000000" w:themeColor="text1"/>
          <w:szCs w:val="22"/>
        </w:rPr>
      </w:pPr>
      <w:r w:rsidRPr="00EB7EC1">
        <w:rPr>
          <w:rFonts w:ascii="Arial" w:hAnsi="Arial" w:cs="Arial"/>
          <w:i/>
          <w:color w:val="000000" w:themeColor="text1"/>
          <w:szCs w:val="22"/>
        </w:rPr>
        <w:t>В.В. Новиченко</w:t>
      </w:r>
    </w:p>
    <w:sectPr w:rsidR="00EB7EC1" w:rsidRPr="00EB7EC1" w:rsidSect="00676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C1"/>
    <w:rsid w:val="00B36BE7"/>
    <w:rsid w:val="00EB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07659A-F5B9-4F17-A487-941B44ED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E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7E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7E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E2C7EFF1C88422C7A7D9D3F7E42FE0842962F7A00E2CBD113A308AEB083B63A354794D70F96D52A045288A37j8J" TargetMode="External"/><Relationship Id="rId13" Type="http://schemas.openxmlformats.org/officeDocument/2006/relationships/hyperlink" Target="consultantplus://offline/ref=5FE2C7EFF1C88422C7A7C7DEE18870E5862B3AFCA80D23EF496836DDB4583D36E3147F1830B836j4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FE2C7EFF1C88422C7A7C7DEE18870E5862B3AFCA80D23EF496836DDB4583D36E3147F1833BE6135j4J" TargetMode="External"/><Relationship Id="rId12" Type="http://schemas.openxmlformats.org/officeDocument/2006/relationships/hyperlink" Target="consultantplus://offline/ref=5FE2C7EFF1C88422C7A7C7DEE18870E5862B3AFCA80D23EF496836DDB4583D36E3147F1830B836j4J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E2C7EFF1C88422C7A7C7DEE18870E5862B3AFCA80D23EF496836DDB4583D36E3147F1830B936j6J" TargetMode="External"/><Relationship Id="rId11" Type="http://schemas.openxmlformats.org/officeDocument/2006/relationships/hyperlink" Target="consultantplus://offline/ref=5FE2C7EFF1C88422C7A7C7DEE18870E5862B3AFCA80D23EF496836DDB4583D36E3147F1833BE6835j6J" TargetMode="External"/><Relationship Id="rId5" Type="http://schemas.openxmlformats.org/officeDocument/2006/relationships/hyperlink" Target="consultantplus://offline/ref=5FE2C7EFF1C88422C7A7C7DEE18870E5862B3DF8A60B23EF496836DDB4583D36E3147F1A31BA36j9J" TargetMode="External"/><Relationship Id="rId15" Type="http://schemas.openxmlformats.org/officeDocument/2006/relationships/hyperlink" Target="consultantplus://offline/ref=5FE2C7EFF1C88422C7A7C7DEE18870E5862B3AFCA80D23EF496836DDB4583D36E3147F1830B436j9J" TargetMode="External"/><Relationship Id="rId10" Type="http://schemas.openxmlformats.org/officeDocument/2006/relationships/hyperlink" Target="consultantplus://offline/ref=5FE2C7EFF1C88422C7A7C7DEE18870E5862B3AFCA80D23EF496836DDB4583D36E3147F1833BE6835j6J" TargetMode="External"/><Relationship Id="rId4" Type="http://schemas.openxmlformats.org/officeDocument/2006/relationships/hyperlink" Target="consultantplus://offline/ref=5FE2C7EFF1C88422C7A7C7DEE18870E5862B3AFBA70D23EF496836DDB4583D36E3147F1833BD61523Aj7J" TargetMode="External"/><Relationship Id="rId9" Type="http://schemas.openxmlformats.org/officeDocument/2006/relationships/hyperlink" Target="consultantplus://offline/ref=5FE2C7EFF1C88422C7A7C7DEE18870E5862B3AFCA80D23EF496836DDB4583D36E3147F1833BE6235j7J" TargetMode="External"/><Relationship Id="rId14" Type="http://schemas.openxmlformats.org/officeDocument/2006/relationships/hyperlink" Target="consultantplus://offline/ref=5FE2C7EFF1C88422C7A7D9D3F7E42FE0842962F7A00E2EB1163A308AEB083B63A354794D70F96D52A045288837j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1</cp:revision>
  <dcterms:created xsi:type="dcterms:W3CDTF">2018-05-11T09:35:00Z</dcterms:created>
  <dcterms:modified xsi:type="dcterms:W3CDTF">2018-05-11T09:38:00Z</dcterms:modified>
</cp:coreProperties>
</file>