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D84CC6" w:rsidRPr="00AD58B2" w:rsidTr="00D84CC6">
        <w:tc>
          <w:tcPr>
            <w:tcW w:w="7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21 ноября 2014 года</w:t>
            </w:r>
          </w:p>
        </w:tc>
        <w:tc>
          <w:tcPr>
            <w:tcW w:w="7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N 152-ОД</w:t>
            </w:r>
          </w:p>
        </w:tc>
      </w:tr>
    </w:tbl>
    <w:p w:rsidR="00D84CC6" w:rsidRPr="00AD58B2" w:rsidRDefault="00D84CC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 w:themeColor="text1"/>
          <w:sz w:val="2"/>
          <w:szCs w:val="2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D58B2">
        <w:rPr>
          <w:rFonts w:ascii="Calibri" w:hAnsi="Calibri" w:cs="Calibri"/>
          <w:b/>
          <w:bCs/>
          <w:color w:val="000000" w:themeColor="text1"/>
        </w:rPr>
        <w:t>ЗАКОН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D58B2">
        <w:rPr>
          <w:rFonts w:ascii="Calibri" w:hAnsi="Calibri" w:cs="Calibri"/>
          <w:b/>
          <w:bCs/>
          <w:color w:val="000000" w:themeColor="text1"/>
        </w:rPr>
        <w:t>ВОЛГОГРАДСКОЙ ОБЛАСТИ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D58B2">
        <w:rPr>
          <w:rFonts w:ascii="Calibri" w:hAnsi="Calibri" w:cs="Calibri"/>
          <w:b/>
          <w:bCs/>
          <w:color w:val="000000" w:themeColor="text1"/>
        </w:rPr>
        <w:t>О ВНЕСЕНИИ ИЗМЕНЕНИЯ В СТАТЬЮ 1 ЗАКОНА ВОЛГОГРАДСКОЙ ОБЛАСТИ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D58B2">
        <w:rPr>
          <w:rFonts w:ascii="Calibri" w:hAnsi="Calibri" w:cs="Calibri"/>
          <w:b/>
          <w:bCs/>
          <w:color w:val="000000" w:themeColor="text1"/>
        </w:rPr>
        <w:t>ОТ 11 НОЯБРЯ 2002 Г. N 750-ОД "О ТРАНСПОРТНОМ НАЛОГЕ"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Принят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Волгоградской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областной Думой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11 ноября 2014 года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0" w:name="Par15"/>
      <w:bookmarkEnd w:id="0"/>
      <w:r w:rsidRPr="00AD58B2">
        <w:rPr>
          <w:rFonts w:ascii="Calibri" w:hAnsi="Calibri" w:cs="Calibri"/>
          <w:color w:val="000000" w:themeColor="text1"/>
        </w:rPr>
        <w:t>Статья 1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 xml:space="preserve">Внести в </w:t>
      </w:r>
      <w:hyperlink r:id="rId4" w:history="1">
        <w:r w:rsidRPr="00AD58B2">
          <w:rPr>
            <w:rFonts w:ascii="Calibri" w:hAnsi="Calibri" w:cs="Calibri"/>
            <w:color w:val="000000" w:themeColor="text1"/>
          </w:rPr>
          <w:t>статью 1</w:t>
        </w:r>
      </w:hyperlink>
      <w:r w:rsidRPr="00AD58B2">
        <w:rPr>
          <w:rFonts w:ascii="Calibri" w:hAnsi="Calibri" w:cs="Calibri"/>
          <w:color w:val="000000" w:themeColor="text1"/>
        </w:rPr>
        <w:t xml:space="preserve"> Закона Волгоградской области от 11 ноября 2002 г. N 750-ОД "О транспортном налоге" (в редакции от 24 ноября 2004 г. N 961-ОД, от 22 ноября 2005 г. N 1122-ОД, от 17 ноября 2008 г. N 1771-ОД, от 12 марта 2010 г. N 2012-ОД) изменение, изложив ее в следующей редакции: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"Статья 1. Налоговые ставки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Налоговые ставки устанавливаются в следующих размерах: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AD58B2" w:rsidRPr="00AD58B2">
        <w:tc>
          <w:tcPr>
            <w:tcW w:w="8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Наименование объекта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Налоговая ставка (в рублях)</w:t>
            </w:r>
          </w:p>
        </w:tc>
      </w:tr>
      <w:tr w:rsidR="00AD58B2" w:rsidRPr="00AD58B2">
        <w:tc>
          <w:tcPr>
            <w:tcW w:w="8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AD58B2" w:rsidRPr="00AD58B2">
        <w:tc>
          <w:tcPr>
            <w:tcW w:w="81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73,55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9,0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150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73,55 кВт до 110,33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20,0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200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110,33 кВт до 147,1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40,0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lastRenderedPageBreak/>
              <w:t xml:space="preserve">свыше 200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250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147,1 кВт до 183,9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75,0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250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183,9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150,0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20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14,7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6,0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20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36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14,7 кВт до 26,48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10,0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36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26,48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24,0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Автобусы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200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147,1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24,0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200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147,1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48,0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73,55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16,0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150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73,55 кВт до 110,33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32,0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200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110,33 кВт до 147,1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50,0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200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 xml:space="preserve">. до 250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147,1 кВт до 183,9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63,0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250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183,9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75,0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13,0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36,77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13,0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50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36,77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24,0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lastRenderedPageBreak/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73,55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24,0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73,55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115,0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73,55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48,0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73,55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230,0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Гидроциклы с мощностью двигателя (с каждой лошадиной силы):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до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(до 73,55 кВт) включительно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144,0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 xml:space="preserve">свыше 100 </w:t>
            </w:r>
            <w:proofErr w:type="spellStart"/>
            <w:r w:rsidRPr="00AD58B2">
              <w:rPr>
                <w:rFonts w:ascii="Calibri" w:hAnsi="Calibri" w:cs="Calibri"/>
                <w:color w:val="000000" w:themeColor="text1"/>
              </w:rPr>
              <w:t>л.с</w:t>
            </w:r>
            <w:proofErr w:type="spellEnd"/>
            <w:r w:rsidRPr="00AD58B2">
              <w:rPr>
                <w:rFonts w:ascii="Calibri" w:hAnsi="Calibri" w:cs="Calibri"/>
                <w:color w:val="000000" w:themeColor="text1"/>
              </w:rPr>
              <w:t>. (свыше 73,55 кВт)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288,0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48,0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61,0</w:t>
            </w:r>
          </w:p>
        </w:tc>
      </w:tr>
      <w:tr w:rsidR="00AD58B2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39,0</w:t>
            </w:r>
          </w:p>
        </w:tc>
      </w:tr>
      <w:tr w:rsidR="00D84CC6" w:rsidRPr="00AD58B2">
        <w:tc>
          <w:tcPr>
            <w:tcW w:w="81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CC6" w:rsidRPr="00AD58B2" w:rsidRDefault="00D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D58B2">
              <w:rPr>
                <w:rFonts w:ascii="Calibri" w:hAnsi="Calibri" w:cs="Calibri"/>
                <w:color w:val="000000" w:themeColor="text1"/>
              </w:rPr>
              <w:t>483,0".</w:t>
            </w:r>
          </w:p>
        </w:tc>
      </w:tr>
    </w:tbl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1" w:name="Par99"/>
      <w:bookmarkEnd w:id="1"/>
      <w:r w:rsidRPr="00AD58B2">
        <w:rPr>
          <w:rFonts w:ascii="Calibri" w:hAnsi="Calibri" w:cs="Calibri"/>
          <w:color w:val="000000" w:themeColor="text1"/>
        </w:rPr>
        <w:t>Статья 2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периода.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proofErr w:type="spellStart"/>
      <w:r w:rsidRPr="00AD58B2">
        <w:rPr>
          <w:rFonts w:ascii="Calibri" w:hAnsi="Calibri" w:cs="Calibri"/>
          <w:color w:val="000000" w:themeColor="text1"/>
        </w:rPr>
        <w:lastRenderedPageBreak/>
        <w:t>И.о</w:t>
      </w:r>
      <w:proofErr w:type="spellEnd"/>
      <w:r w:rsidRPr="00AD58B2">
        <w:rPr>
          <w:rFonts w:ascii="Calibri" w:hAnsi="Calibri" w:cs="Calibri"/>
          <w:color w:val="000000" w:themeColor="text1"/>
        </w:rPr>
        <w:t>. Губернатора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Волгоградской области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А.А.Ф</w:t>
      </w:r>
      <w:r w:rsidR="00AD58B2">
        <w:rPr>
          <w:rFonts w:ascii="Calibri" w:hAnsi="Calibri" w:cs="Calibri"/>
          <w:color w:val="000000" w:themeColor="text1"/>
          <w:lang w:val="en-US"/>
        </w:rPr>
        <w:t>едюнин</w:t>
      </w:r>
      <w:bookmarkStart w:id="2" w:name="_GoBack"/>
      <w:bookmarkEnd w:id="2"/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21 ноября 2014 года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AD58B2">
        <w:rPr>
          <w:rFonts w:ascii="Calibri" w:hAnsi="Calibri" w:cs="Calibri"/>
          <w:color w:val="000000" w:themeColor="text1"/>
        </w:rPr>
        <w:t>N 152-ОД</w:t>
      </w:r>
    </w:p>
    <w:p w:rsidR="00D84CC6" w:rsidRPr="00AD58B2" w:rsidRDefault="00D84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sectPr w:rsidR="00D84CC6" w:rsidRPr="00AD58B2" w:rsidSect="00A33D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C6"/>
    <w:rsid w:val="0006488A"/>
    <w:rsid w:val="00AD58B2"/>
    <w:rsid w:val="00B47F5A"/>
    <w:rsid w:val="00D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1A8738-A318-436B-AC8F-E38D6E36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08FB8DEDDD7AC61DE9470D90FC10E0533B8794033D0B53653F359B91E39CCD2DC4B8912ED5F4wBd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Помещиков</dc:creator>
  <cp:lastModifiedBy>Помещиков Сергей Петрович</cp:lastModifiedBy>
  <cp:revision>2</cp:revision>
  <dcterms:created xsi:type="dcterms:W3CDTF">2014-12-08T12:29:00Z</dcterms:created>
  <dcterms:modified xsi:type="dcterms:W3CDTF">2015-01-28T12:42:00Z</dcterms:modified>
</cp:coreProperties>
</file>