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FAB" w:rsidRPr="00A16FAB" w:rsidRDefault="00A16FAB">
      <w:pPr>
        <w:pStyle w:val="ConsPlusNormal"/>
        <w:jc w:val="both"/>
      </w:pPr>
    </w:p>
    <w:p w:rsidR="00A16FAB" w:rsidRPr="00A16FAB" w:rsidRDefault="00A16FAB">
      <w:pPr>
        <w:pStyle w:val="ConsPlusNormal"/>
        <w:jc w:val="both"/>
      </w:pPr>
    </w:p>
    <w:p w:rsidR="00A16FAB" w:rsidRPr="00A16FAB" w:rsidRDefault="00A16FAB">
      <w:pPr>
        <w:pStyle w:val="ConsPlusNormal"/>
        <w:jc w:val="right"/>
        <w:outlineLvl w:val="0"/>
      </w:pPr>
      <w:r w:rsidRPr="00A16FAB">
        <w:t>Приложение 2</w:t>
      </w:r>
    </w:p>
    <w:p w:rsidR="00A16FAB" w:rsidRPr="00A16FAB" w:rsidRDefault="00A16FAB">
      <w:pPr>
        <w:pStyle w:val="ConsPlusNormal"/>
        <w:jc w:val="right"/>
      </w:pPr>
      <w:r w:rsidRPr="00A16FAB">
        <w:t>к Положению</w:t>
      </w:r>
    </w:p>
    <w:p w:rsidR="00A16FAB" w:rsidRPr="00A16FAB" w:rsidRDefault="00A16FAB">
      <w:pPr>
        <w:pStyle w:val="ConsPlusNormal"/>
        <w:jc w:val="both"/>
      </w:pPr>
    </w:p>
    <w:p w:rsidR="00A16FAB" w:rsidRPr="00A16FAB" w:rsidRDefault="00A16FAB">
      <w:pPr>
        <w:pStyle w:val="ConsPlusNormal"/>
        <w:jc w:val="center"/>
      </w:pPr>
      <w:bookmarkStart w:id="0" w:name="P26"/>
      <w:bookmarkEnd w:id="0"/>
      <w:r w:rsidRPr="00A16FAB">
        <w:t>ЗНАЧЕНИЕ</w:t>
      </w:r>
    </w:p>
    <w:p w:rsidR="00A16FAB" w:rsidRPr="00A16FAB" w:rsidRDefault="00A16FAB">
      <w:pPr>
        <w:pStyle w:val="ConsPlusNormal"/>
        <w:jc w:val="center"/>
      </w:pPr>
      <w:r w:rsidRPr="00A16FAB">
        <w:t>ПОКАЗАТЕЛЯ, УЧИТЫВАЮЩЕГО УРОВЕНЬ</w:t>
      </w:r>
    </w:p>
    <w:p w:rsidR="00A16FAB" w:rsidRPr="00A16FAB" w:rsidRDefault="00A16FAB">
      <w:pPr>
        <w:pStyle w:val="ConsPlusNormal"/>
        <w:jc w:val="center"/>
      </w:pPr>
      <w:r w:rsidRPr="00A16FAB">
        <w:t>ВЫПЛАЧИВАЕМОЙ ЗАРАБОТНОЙ ПЛАТЫ НАЕМНЫМ РАБОТНИКАМ</w:t>
      </w:r>
    </w:p>
    <w:p w:rsidR="00A16FAB" w:rsidRPr="00A16FAB" w:rsidRDefault="00A16F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2041"/>
        <w:gridCol w:w="2041"/>
        <w:gridCol w:w="1361"/>
      </w:tblGrid>
      <w:tr w:rsidR="00A16FAB" w:rsidRPr="00A16FAB">
        <w:tc>
          <w:tcPr>
            <w:tcW w:w="5499" w:type="dxa"/>
            <w:vMerge w:val="restart"/>
          </w:tcPr>
          <w:p w:rsidR="00A16FAB" w:rsidRPr="00A16FAB" w:rsidRDefault="00A16FAB">
            <w:pPr>
              <w:pStyle w:val="ConsPlusNormal"/>
              <w:jc w:val="center"/>
            </w:pPr>
            <w:r w:rsidRPr="00A16FAB">
              <w:t>Вид предпринимательской деятельности</w:t>
            </w:r>
          </w:p>
        </w:tc>
        <w:tc>
          <w:tcPr>
            <w:tcW w:w="4082" w:type="dxa"/>
            <w:gridSpan w:val="2"/>
          </w:tcPr>
          <w:p w:rsidR="00A16FAB" w:rsidRPr="00A16FAB" w:rsidRDefault="00A16FAB">
            <w:pPr>
              <w:pStyle w:val="ConsPlusNormal"/>
            </w:pPr>
            <w:r w:rsidRPr="00A16FAB">
              <w:t>Величина среднемесячной заработной платы на одного работника &lt;*&gt; при осуществлении предпринимательской деятельности в населенных пунктах с численностью населения (рублей в месяц)</w:t>
            </w:r>
          </w:p>
        </w:tc>
        <w:tc>
          <w:tcPr>
            <w:tcW w:w="1361" w:type="dxa"/>
            <w:vMerge w:val="restart"/>
          </w:tcPr>
          <w:p w:rsidR="00A16FAB" w:rsidRPr="00A16FAB" w:rsidRDefault="00A16FAB">
            <w:pPr>
              <w:pStyle w:val="ConsPlusNormal"/>
            </w:pPr>
            <w:r w:rsidRPr="00A16FAB">
              <w:t>Значение показателя</w:t>
            </w:r>
          </w:p>
        </w:tc>
      </w:tr>
      <w:tr w:rsidR="00A16FAB" w:rsidRPr="00A16FAB">
        <w:tc>
          <w:tcPr>
            <w:tcW w:w="5499" w:type="dxa"/>
            <w:vMerge/>
          </w:tcPr>
          <w:p w:rsidR="00A16FAB" w:rsidRPr="00A16FAB" w:rsidRDefault="00A16FAB"/>
        </w:tc>
        <w:tc>
          <w:tcPr>
            <w:tcW w:w="2041" w:type="dxa"/>
          </w:tcPr>
          <w:p w:rsidR="00A16FAB" w:rsidRPr="00A16FAB" w:rsidRDefault="00A16FAB">
            <w:pPr>
              <w:pStyle w:val="ConsPlusNormal"/>
              <w:jc w:val="center"/>
            </w:pPr>
            <w:r w:rsidRPr="00A16FAB">
              <w:t>свыше 2500 чел.</w:t>
            </w:r>
          </w:p>
        </w:tc>
        <w:tc>
          <w:tcPr>
            <w:tcW w:w="2041" w:type="dxa"/>
          </w:tcPr>
          <w:p w:rsidR="00A16FAB" w:rsidRPr="00A16FAB" w:rsidRDefault="00A16FAB">
            <w:pPr>
              <w:pStyle w:val="ConsPlusNormal"/>
              <w:jc w:val="center"/>
            </w:pPr>
            <w:r w:rsidRPr="00A16FAB">
              <w:t>до 2500 чел.</w:t>
            </w:r>
          </w:p>
        </w:tc>
        <w:tc>
          <w:tcPr>
            <w:tcW w:w="1361" w:type="dxa"/>
            <w:vMerge/>
          </w:tcPr>
          <w:p w:rsidR="00A16FAB" w:rsidRPr="00A16FAB" w:rsidRDefault="00A16FAB"/>
        </w:tc>
      </w:tr>
      <w:tr w:rsidR="00A16FAB" w:rsidRPr="00A16FAB">
        <w:tc>
          <w:tcPr>
            <w:tcW w:w="5499" w:type="dxa"/>
          </w:tcPr>
          <w:p w:rsidR="00A16FAB" w:rsidRPr="00A16FAB" w:rsidRDefault="00A16FAB">
            <w:pPr>
              <w:pStyle w:val="ConsPlusNormal"/>
              <w:jc w:val="center"/>
            </w:pPr>
            <w:r w:rsidRPr="00A16FAB">
              <w:t>1</w:t>
            </w:r>
          </w:p>
        </w:tc>
        <w:tc>
          <w:tcPr>
            <w:tcW w:w="2041" w:type="dxa"/>
          </w:tcPr>
          <w:p w:rsidR="00A16FAB" w:rsidRPr="00A16FAB" w:rsidRDefault="00A16FAB">
            <w:pPr>
              <w:pStyle w:val="ConsPlusNormal"/>
              <w:jc w:val="center"/>
            </w:pPr>
            <w:r w:rsidRPr="00A16FAB">
              <w:t>2</w:t>
            </w:r>
          </w:p>
        </w:tc>
        <w:tc>
          <w:tcPr>
            <w:tcW w:w="2041" w:type="dxa"/>
          </w:tcPr>
          <w:p w:rsidR="00A16FAB" w:rsidRPr="00A16FAB" w:rsidRDefault="00A16FAB">
            <w:pPr>
              <w:pStyle w:val="ConsPlusNormal"/>
              <w:jc w:val="center"/>
            </w:pPr>
            <w:r w:rsidRPr="00A16FAB">
              <w:t>3</w:t>
            </w:r>
          </w:p>
        </w:tc>
        <w:tc>
          <w:tcPr>
            <w:tcW w:w="1361" w:type="dxa"/>
          </w:tcPr>
          <w:p w:rsidR="00A16FAB" w:rsidRPr="00A16FAB" w:rsidRDefault="00A16FAB">
            <w:pPr>
              <w:pStyle w:val="ConsPlusNormal"/>
              <w:jc w:val="center"/>
            </w:pPr>
            <w:r w:rsidRPr="00A16FAB">
              <w:t>4</w:t>
            </w:r>
          </w:p>
        </w:tc>
      </w:tr>
      <w:tr w:rsidR="00A16FAB" w:rsidRPr="00A16FAB">
        <w:tc>
          <w:tcPr>
            <w:tcW w:w="5499" w:type="dxa"/>
            <w:vMerge w:val="restart"/>
          </w:tcPr>
          <w:p w:rsidR="00A16FAB" w:rsidRPr="00A16FAB" w:rsidRDefault="00A16FAB">
            <w:pPr>
              <w:pStyle w:val="ConsPlusNormal"/>
            </w:pPr>
            <w:r w:rsidRPr="00A16FAB">
              <w:t>1.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c>
          <w:tcPr>
            <w:tcW w:w="2041" w:type="dxa"/>
            <w:tcBorders>
              <w:bottom w:val="nil"/>
            </w:tcBorders>
          </w:tcPr>
          <w:p w:rsidR="00A16FAB" w:rsidRPr="00A16FAB" w:rsidRDefault="00A16FAB">
            <w:pPr>
              <w:pStyle w:val="ConsPlusNormal"/>
              <w:jc w:val="center"/>
            </w:pPr>
            <w:r w:rsidRPr="00A16FAB">
              <w:t>14000 и более</w:t>
            </w:r>
          </w:p>
        </w:tc>
        <w:tc>
          <w:tcPr>
            <w:tcW w:w="2041" w:type="dxa"/>
            <w:tcBorders>
              <w:bottom w:val="nil"/>
            </w:tcBorders>
          </w:tcPr>
          <w:p w:rsidR="00A16FAB" w:rsidRPr="00A16FAB" w:rsidRDefault="00A16FAB">
            <w:pPr>
              <w:pStyle w:val="ConsPlusNormal"/>
              <w:jc w:val="center"/>
            </w:pPr>
            <w:r w:rsidRPr="00A16FAB">
              <w:t>10000 и более</w:t>
            </w:r>
          </w:p>
        </w:tc>
        <w:tc>
          <w:tcPr>
            <w:tcW w:w="1361" w:type="dxa"/>
            <w:tcBorders>
              <w:bottom w:val="nil"/>
            </w:tcBorders>
          </w:tcPr>
          <w:p w:rsidR="00A16FAB" w:rsidRPr="00A16FAB" w:rsidRDefault="00A16FAB">
            <w:pPr>
              <w:pStyle w:val="ConsPlusNormal"/>
              <w:jc w:val="center"/>
            </w:pPr>
            <w:r w:rsidRPr="00A16FAB">
              <w:t>1.0</w:t>
            </w:r>
          </w:p>
        </w:tc>
      </w:tr>
      <w:tr w:rsidR="00A16FAB" w:rsidRPr="00A16FAB">
        <w:tc>
          <w:tcPr>
            <w:tcW w:w="5499" w:type="dxa"/>
            <w:vMerge/>
          </w:tcPr>
          <w:p w:rsidR="00A16FAB" w:rsidRPr="00A16FAB" w:rsidRDefault="00A16FAB"/>
        </w:tc>
        <w:tc>
          <w:tcPr>
            <w:tcW w:w="2041" w:type="dxa"/>
            <w:tcBorders>
              <w:top w:val="nil"/>
            </w:tcBorders>
          </w:tcPr>
          <w:p w:rsidR="00A16FAB" w:rsidRPr="00A16FAB" w:rsidRDefault="00A16FAB">
            <w:pPr>
              <w:pStyle w:val="ConsPlusNormal"/>
              <w:jc w:val="center"/>
            </w:pPr>
            <w:r w:rsidRPr="00A16FAB">
              <w:t>менее 14000</w:t>
            </w:r>
          </w:p>
        </w:tc>
        <w:tc>
          <w:tcPr>
            <w:tcW w:w="2041" w:type="dxa"/>
            <w:tcBorders>
              <w:top w:val="nil"/>
            </w:tcBorders>
          </w:tcPr>
          <w:p w:rsidR="00A16FAB" w:rsidRPr="00A16FAB" w:rsidRDefault="00A16FAB">
            <w:pPr>
              <w:pStyle w:val="ConsPlusNormal"/>
              <w:jc w:val="center"/>
            </w:pPr>
            <w:r w:rsidRPr="00A16FAB">
              <w:t>менее 10000</w:t>
            </w:r>
          </w:p>
        </w:tc>
        <w:tc>
          <w:tcPr>
            <w:tcW w:w="1361" w:type="dxa"/>
            <w:tcBorders>
              <w:top w:val="nil"/>
            </w:tcBorders>
          </w:tcPr>
          <w:p w:rsidR="00A16FAB" w:rsidRPr="00A16FAB" w:rsidRDefault="00A16FAB">
            <w:pPr>
              <w:pStyle w:val="ConsPlusNormal"/>
              <w:jc w:val="center"/>
            </w:pPr>
            <w:r w:rsidRPr="00A16FAB">
              <w:t>2.5</w:t>
            </w:r>
          </w:p>
        </w:tc>
      </w:tr>
      <w:tr w:rsidR="00A16FAB" w:rsidRPr="00A16FAB">
        <w:tc>
          <w:tcPr>
            <w:tcW w:w="5499" w:type="dxa"/>
            <w:vMerge w:val="restart"/>
          </w:tcPr>
          <w:p w:rsidR="00A16FAB" w:rsidRPr="00A16FAB" w:rsidRDefault="00A16FAB">
            <w:pPr>
              <w:pStyle w:val="ConsPlusNormal"/>
            </w:pPr>
            <w:r w:rsidRPr="00A16FAB">
              <w:t>2.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tc>
        <w:tc>
          <w:tcPr>
            <w:tcW w:w="2041" w:type="dxa"/>
            <w:tcBorders>
              <w:bottom w:val="nil"/>
            </w:tcBorders>
          </w:tcPr>
          <w:p w:rsidR="00A16FAB" w:rsidRPr="00A16FAB" w:rsidRDefault="00A16FAB">
            <w:pPr>
              <w:pStyle w:val="ConsPlusNormal"/>
              <w:jc w:val="center"/>
            </w:pPr>
            <w:r w:rsidRPr="00A16FAB">
              <w:t>14000 и более</w:t>
            </w:r>
          </w:p>
        </w:tc>
        <w:tc>
          <w:tcPr>
            <w:tcW w:w="2041" w:type="dxa"/>
            <w:tcBorders>
              <w:bottom w:val="nil"/>
            </w:tcBorders>
          </w:tcPr>
          <w:p w:rsidR="00A16FAB" w:rsidRPr="00A16FAB" w:rsidRDefault="00A16FAB">
            <w:pPr>
              <w:pStyle w:val="ConsPlusNormal"/>
              <w:jc w:val="center"/>
            </w:pPr>
            <w:r w:rsidRPr="00A16FAB">
              <w:t>10000 и более</w:t>
            </w:r>
          </w:p>
        </w:tc>
        <w:tc>
          <w:tcPr>
            <w:tcW w:w="1361" w:type="dxa"/>
            <w:tcBorders>
              <w:bottom w:val="nil"/>
            </w:tcBorders>
          </w:tcPr>
          <w:p w:rsidR="00A16FAB" w:rsidRPr="00A16FAB" w:rsidRDefault="00A16FAB">
            <w:pPr>
              <w:pStyle w:val="ConsPlusNormal"/>
              <w:jc w:val="center"/>
            </w:pPr>
            <w:r w:rsidRPr="00A16FAB">
              <w:t>1.0</w:t>
            </w:r>
          </w:p>
        </w:tc>
      </w:tr>
      <w:tr w:rsidR="00A16FAB" w:rsidRPr="00A16FAB">
        <w:tc>
          <w:tcPr>
            <w:tcW w:w="5499" w:type="dxa"/>
            <w:vMerge/>
          </w:tcPr>
          <w:p w:rsidR="00A16FAB" w:rsidRPr="00A16FAB" w:rsidRDefault="00A16FAB"/>
        </w:tc>
        <w:tc>
          <w:tcPr>
            <w:tcW w:w="2041" w:type="dxa"/>
            <w:tcBorders>
              <w:top w:val="nil"/>
            </w:tcBorders>
          </w:tcPr>
          <w:p w:rsidR="00A16FAB" w:rsidRPr="00A16FAB" w:rsidRDefault="00A16FAB">
            <w:pPr>
              <w:pStyle w:val="ConsPlusNormal"/>
              <w:jc w:val="center"/>
            </w:pPr>
            <w:r w:rsidRPr="00A16FAB">
              <w:t>менее 14000</w:t>
            </w:r>
          </w:p>
        </w:tc>
        <w:tc>
          <w:tcPr>
            <w:tcW w:w="2041" w:type="dxa"/>
            <w:tcBorders>
              <w:top w:val="nil"/>
            </w:tcBorders>
          </w:tcPr>
          <w:p w:rsidR="00A16FAB" w:rsidRPr="00A16FAB" w:rsidRDefault="00A16FAB">
            <w:pPr>
              <w:pStyle w:val="ConsPlusNormal"/>
              <w:jc w:val="center"/>
            </w:pPr>
            <w:r w:rsidRPr="00A16FAB">
              <w:t>менее 10000</w:t>
            </w:r>
          </w:p>
        </w:tc>
        <w:tc>
          <w:tcPr>
            <w:tcW w:w="1361" w:type="dxa"/>
            <w:tcBorders>
              <w:top w:val="nil"/>
            </w:tcBorders>
          </w:tcPr>
          <w:p w:rsidR="00A16FAB" w:rsidRPr="00A16FAB" w:rsidRDefault="00A16FAB">
            <w:pPr>
              <w:pStyle w:val="ConsPlusNormal"/>
              <w:jc w:val="center"/>
            </w:pPr>
            <w:r w:rsidRPr="00A16FAB">
              <w:t>2.5</w:t>
            </w:r>
          </w:p>
        </w:tc>
      </w:tr>
      <w:tr w:rsidR="00A16FAB" w:rsidRPr="00A16FAB">
        <w:tc>
          <w:tcPr>
            <w:tcW w:w="5499" w:type="dxa"/>
            <w:vMerge w:val="restart"/>
          </w:tcPr>
          <w:p w:rsidR="00A16FAB" w:rsidRPr="00A16FAB" w:rsidRDefault="00A16FAB">
            <w:pPr>
              <w:pStyle w:val="ConsPlusNormal"/>
            </w:pPr>
            <w:r w:rsidRPr="00A16FAB">
              <w:t>3. Оказание услуг общественного питания через объекты организации общественного питания, имеющие залы обслуживания посетителей</w:t>
            </w:r>
          </w:p>
        </w:tc>
        <w:tc>
          <w:tcPr>
            <w:tcW w:w="2041" w:type="dxa"/>
            <w:tcBorders>
              <w:bottom w:val="nil"/>
            </w:tcBorders>
          </w:tcPr>
          <w:p w:rsidR="00A16FAB" w:rsidRPr="00A16FAB" w:rsidRDefault="00A16FAB">
            <w:pPr>
              <w:pStyle w:val="ConsPlusNormal"/>
              <w:jc w:val="center"/>
            </w:pPr>
            <w:r w:rsidRPr="00A16FAB">
              <w:t>14000 и более</w:t>
            </w:r>
          </w:p>
        </w:tc>
        <w:tc>
          <w:tcPr>
            <w:tcW w:w="2041" w:type="dxa"/>
            <w:tcBorders>
              <w:bottom w:val="nil"/>
            </w:tcBorders>
          </w:tcPr>
          <w:p w:rsidR="00A16FAB" w:rsidRPr="00A16FAB" w:rsidRDefault="00A16FAB">
            <w:pPr>
              <w:pStyle w:val="ConsPlusNormal"/>
              <w:jc w:val="center"/>
            </w:pPr>
            <w:r w:rsidRPr="00A16FAB">
              <w:t>10000 и более</w:t>
            </w:r>
          </w:p>
        </w:tc>
        <w:tc>
          <w:tcPr>
            <w:tcW w:w="1361" w:type="dxa"/>
            <w:tcBorders>
              <w:bottom w:val="nil"/>
            </w:tcBorders>
          </w:tcPr>
          <w:p w:rsidR="00A16FAB" w:rsidRPr="00A16FAB" w:rsidRDefault="00A16FAB">
            <w:pPr>
              <w:pStyle w:val="ConsPlusNormal"/>
              <w:jc w:val="center"/>
            </w:pPr>
            <w:r w:rsidRPr="00A16FAB">
              <w:t>1.0</w:t>
            </w:r>
          </w:p>
        </w:tc>
      </w:tr>
      <w:tr w:rsidR="00A16FAB" w:rsidRPr="00A16FAB">
        <w:tc>
          <w:tcPr>
            <w:tcW w:w="5499" w:type="dxa"/>
            <w:vMerge/>
          </w:tcPr>
          <w:p w:rsidR="00A16FAB" w:rsidRPr="00A16FAB" w:rsidRDefault="00A16FAB"/>
        </w:tc>
        <w:tc>
          <w:tcPr>
            <w:tcW w:w="2041" w:type="dxa"/>
            <w:tcBorders>
              <w:top w:val="nil"/>
            </w:tcBorders>
          </w:tcPr>
          <w:p w:rsidR="00A16FAB" w:rsidRPr="00A16FAB" w:rsidRDefault="00A16FAB">
            <w:pPr>
              <w:pStyle w:val="ConsPlusNormal"/>
              <w:jc w:val="center"/>
            </w:pPr>
            <w:r w:rsidRPr="00A16FAB">
              <w:t>менее 14000</w:t>
            </w:r>
          </w:p>
        </w:tc>
        <w:tc>
          <w:tcPr>
            <w:tcW w:w="2041" w:type="dxa"/>
            <w:tcBorders>
              <w:top w:val="nil"/>
            </w:tcBorders>
          </w:tcPr>
          <w:p w:rsidR="00A16FAB" w:rsidRPr="00A16FAB" w:rsidRDefault="00A16FAB">
            <w:pPr>
              <w:pStyle w:val="ConsPlusNormal"/>
              <w:jc w:val="center"/>
            </w:pPr>
            <w:r w:rsidRPr="00A16FAB">
              <w:t>менее 10000</w:t>
            </w:r>
          </w:p>
        </w:tc>
        <w:tc>
          <w:tcPr>
            <w:tcW w:w="1361" w:type="dxa"/>
            <w:tcBorders>
              <w:top w:val="nil"/>
            </w:tcBorders>
          </w:tcPr>
          <w:p w:rsidR="00A16FAB" w:rsidRPr="00A16FAB" w:rsidRDefault="00A16FAB">
            <w:pPr>
              <w:pStyle w:val="ConsPlusNormal"/>
              <w:jc w:val="center"/>
            </w:pPr>
            <w:r w:rsidRPr="00A16FAB">
              <w:t>2.5</w:t>
            </w:r>
          </w:p>
        </w:tc>
      </w:tr>
      <w:tr w:rsidR="00A16FAB" w:rsidRPr="00A16FAB">
        <w:tc>
          <w:tcPr>
            <w:tcW w:w="5499" w:type="dxa"/>
            <w:vMerge w:val="restart"/>
          </w:tcPr>
          <w:p w:rsidR="00A16FAB" w:rsidRPr="00A16FAB" w:rsidRDefault="00A16FAB">
            <w:pPr>
              <w:pStyle w:val="ConsPlusNormal"/>
            </w:pPr>
            <w:r w:rsidRPr="00A16FAB">
              <w:t>4. Оказание услуг общественного питания через объекты организации общественного питания, не имеющие залы обслуживания</w:t>
            </w:r>
          </w:p>
        </w:tc>
        <w:tc>
          <w:tcPr>
            <w:tcW w:w="2041" w:type="dxa"/>
            <w:tcBorders>
              <w:bottom w:val="nil"/>
            </w:tcBorders>
          </w:tcPr>
          <w:p w:rsidR="00A16FAB" w:rsidRPr="00A16FAB" w:rsidRDefault="00A16FAB">
            <w:pPr>
              <w:pStyle w:val="ConsPlusNormal"/>
              <w:jc w:val="center"/>
            </w:pPr>
            <w:r w:rsidRPr="00A16FAB">
              <w:t>14000 и более</w:t>
            </w:r>
          </w:p>
        </w:tc>
        <w:tc>
          <w:tcPr>
            <w:tcW w:w="2041" w:type="dxa"/>
            <w:tcBorders>
              <w:bottom w:val="nil"/>
            </w:tcBorders>
          </w:tcPr>
          <w:p w:rsidR="00A16FAB" w:rsidRPr="00A16FAB" w:rsidRDefault="00A16FAB">
            <w:pPr>
              <w:pStyle w:val="ConsPlusNormal"/>
              <w:jc w:val="center"/>
            </w:pPr>
            <w:r w:rsidRPr="00A16FAB">
              <w:t>10000 и более</w:t>
            </w:r>
          </w:p>
        </w:tc>
        <w:tc>
          <w:tcPr>
            <w:tcW w:w="1361" w:type="dxa"/>
            <w:tcBorders>
              <w:bottom w:val="nil"/>
            </w:tcBorders>
          </w:tcPr>
          <w:p w:rsidR="00A16FAB" w:rsidRPr="00A16FAB" w:rsidRDefault="00A16FAB">
            <w:pPr>
              <w:pStyle w:val="ConsPlusNormal"/>
              <w:jc w:val="center"/>
            </w:pPr>
            <w:r w:rsidRPr="00A16FAB">
              <w:t>1.0</w:t>
            </w:r>
          </w:p>
        </w:tc>
      </w:tr>
      <w:tr w:rsidR="00A16FAB" w:rsidRPr="00A16FAB">
        <w:tc>
          <w:tcPr>
            <w:tcW w:w="5499" w:type="dxa"/>
            <w:vMerge/>
          </w:tcPr>
          <w:p w:rsidR="00A16FAB" w:rsidRPr="00A16FAB" w:rsidRDefault="00A16FAB"/>
        </w:tc>
        <w:tc>
          <w:tcPr>
            <w:tcW w:w="2041" w:type="dxa"/>
            <w:tcBorders>
              <w:top w:val="nil"/>
            </w:tcBorders>
          </w:tcPr>
          <w:p w:rsidR="00A16FAB" w:rsidRPr="00A16FAB" w:rsidRDefault="00A16FAB">
            <w:pPr>
              <w:pStyle w:val="ConsPlusNormal"/>
              <w:jc w:val="center"/>
            </w:pPr>
            <w:r w:rsidRPr="00A16FAB">
              <w:t>менее 14000</w:t>
            </w:r>
          </w:p>
        </w:tc>
        <w:tc>
          <w:tcPr>
            <w:tcW w:w="2041" w:type="dxa"/>
            <w:tcBorders>
              <w:top w:val="nil"/>
            </w:tcBorders>
          </w:tcPr>
          <w:p w:rsidR="00A16FAB" w:rsidRPr="00A16FAB" w:rsidRDefault="00A16FAB">
            <w:pPr>
              <w:pStyle w:val="ConsPlusNormal"/>
              <w:jc w:val="center"/>
            </w:pPr>
            <w:r w:rsidRPr="00A16FAB">
              <w:t>менее 10000</w:t>
            </w:r>
          </w:p>
        </w:tc>
        <w:tc>
          <w:tcPr>
            <w:tcW w:w="1361" w:type="dxa"/>
            <w:tcBorders>
              <w:top w:val="nil"/>
            </w:tcBorders>
          </w:tcPr>
          <w:p w:rsidR="00A16FAB" w:rsidRPr="00A16FAB" w:rsidRDefault="00A16FAB">
            <w:pPr>
              <w:pStyle w:val="ConsPlusNormal"/>
              <w:jc w:val="center"/>
            </w:pPr>
            <w:r w:rsidRPr="00A16FAB">
              <w:t>2.0</w:t>
            </w:r>
          </w:p>
        </w:tc>
      </w:tr>
      <w:tr w:rsidR="00A16FAB" w:rsidRPr="00A16FAB">
        <w:tc>
          <w:tcPr>
            <w:tcW w:w="5499" w:type="dxa"/>
            <w:vMerge w:val="restart"/>
          </w:tcPr>
          <w:p w:rsidR="00A16FAB" w:rsidRPr="00A16FAB" w:rsidRDefault="00A16FAB">
            <w:pPr>
              <w:pStyle w:val="ConsPlusNormal"/>
            </w:pPr>
            <w:r w:rsidRPr="00A16FAB">
              <w:t xml:space="preserve">5. Оказание услуг по временному размещению и </w:t>
            </w:r>
            <w:r w:rsidRPr="00A16FAB">
              <w:lastRenderedPageBreak/>
              <w:t>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041" w:type="dxa"/>
            <w:tcBorders>
              <w:bottom w:val="nil"/>
            </w:tcBorders>
          </w:tcPr>
          <w:p w:rsidR="00A16FAB" w:rsidRPr="00A16FAB" w:rsidRDefault="00A16FAB">
            <w:pPr>
              <w:pStyle w:val="ConsPlusNormal"/>
              <w:jc w:val="center"/>
            </w:pPr>
            <w:r w:rsidRPr="00A16FAB">
              <w:lastRenderedPageBreak/>
              <w:t>14000 и более</w:t>
            </w:r>
          </w:p>
        </w:tc>
        <w:tc>
          <w:tcPr>
            <w:tcW w:w="2041" w:type="dxa"/>
            <w:tcBorders>
              <w:bottom w:val="nil"/>
            </w:tcBorders>
          </w:tcPr>
          <w:p w:rsidR="00A16FAB" w:rsidRPr="00A16FAB" w:rsidRDefault="00A16FAB">
            <w:pPr>
              <w:pStyle w:val="ConsPlusNormal"/>
              <w:jc w:val="center"/>
            </w:pPr>
            <w:r w:rsidRPr="00A16FAB">
              <w:t>10000 и более</w:t>
            </w:r>
          </w:p>
        </w:tc>
        <w:tc>
          <w:tcPr>
            <w:tcW w:w="1361" w:type="dxa"/>
            <w:tcBorders>
              <w:bottom w:val="nil"/>
            </w:tcBorders>
          </w:tcPr>
          <w:p w:rsidR="00A16FAB" w:rsidRPr="00A16FAB" w:rsidRDefault="00A16FAB">
            <w:pPr>
              <w:pStyle w:val="ConsPlusNormal"/>
              <w:jc w:val="center"/>
            </w:pPr>
            <w:r w:rsidRPr="00A16FAB">
              <w:t>1.0</w:t>
            </w:r>
          </w:p>
        </w:tc>
      </w:tr>
      <w:tr w:rsidR="00A16FAB" w:rsidRPr="00A16FAB">
        <w:tc>
          <w:tcPr>
            <w:tcW w:w="5499" w:type="dxa"/>
            <w:vMerge/>
          </w:tcPr>
          <w:p w:rsidR="00A16FAB" w:rsidRPr="00A16FAB" w:rsidRDefault="00A16FAB"/>
        </w:tc>
        <w:tc>
          <w:tcPr>
            <w:tcW w:w="2041" w:type="dxa"/>
            <w:tcBorders>
              <w:top w:val="nil"/>
            </w:tcBorders>
          </w:tcPr>
          <w:p w:rsidR="00A16FAB" w:rsidRPr="00A16FAB" w:rsidRDefault="00A16FAB">
            <w:pPr>
              <w:pStyle w:val="ConsPlusNormal"/>
              <w:jc w:val="center"/>
            </w:pPr>
            <w:r w:rsidRPr="00A16FAB">
              <w:t>менее 14000</w:t>
            </w:r>
          </w:p>
        </w:tc>
        <w:tc>
          <w:tcPr>
            <w:tcW w:w="2041" w:type="dxa"/>
            <w:tcBorders>
              <w:top w:val="nil"/>
            </w:tcBorders>
          </w:tcPr>
          <w:p w:rsidR="00A16FAB" w:rsidRPr="00A16FAB" w:rsidRDefault="00A16FAB">
            <w:pPr>
              <w:pStyle w:val="ConsPlusNormal"/>
              <w:jc w:val="center"/>
            </w:pPr>
            <w:r w:rsidRPr="00A16FAB">
              <w:t>менее 10000</w:t>
            </w:r>
          </w:p>
        </w:tc>
        <w:tc>
          <w:tcPr>
            <w:tcW w:w="1361" w:type="dxa"/>
            <w:tcBorders>
              <w:top w:val="nil"/>
            </w:tcBorders>
          </w:tcPr>
          <w:p w:rsidR="00A16FAB" w:rsidRPr="00A16FAB" w:rsidRDefault="00A16FAB">
            <w:pPr>
              <w:pStyle w:val="ConsPlusNormal"/>
              <w:jc w:val="center"/>
            </w:pPr>
            <w:r w:rsidRPr="00A16FAB">
              <w:t>1.5</w:t>
            </w:r>
          </w:p>
        </w:tc>
      </w:tr>
      <w:tr w:rsidR="00A16FAB" w:rsidRPr="00A16FAB">
        <w:tc>
          <w:tcPr>
            <w:tcW w:w="10942" w:type="dxa"/>
            <w:gridSpan w:val="4"/>
          </w:tcPr>
          <w:p w:rsidR="00A16FAB" w:rsidRPr="00A16FAB" w:rsidRDefault="00A16FAB">
            <w:pPr>
              <w:pStyle w:val="ConsPlusNormal"/>
            </w:pPr>
            <w:r w:rsidRPr="00A16FAB">
              <w:lastRenderedPageBreak/>
              <w:t>По остальным видам деятельности, переведенным на уплату единого налога на вмененный доход, значение показателя применяется в размере, равном 1.0</w:t>
            </w:r>
          </w:p>
        </w:tc>
      </w:tr>
    </w:tbl>
    <w:p w:rsidR="00A16FAB" w:rsidRPr="00A16FAB" w:rsidRDefault="00A16FAB">
      <w:pPr>
        <w:pStyle w:val="ConsPlusNormal"/>
        <w:jc w:val="both"/>
      </w:pPr>
    </w:p>
    <w:p w:rsidR="00A16FAB" w:rsidRPr="00A16FAB" w:rsidRDefault="00A16FAB">
      <w:pPr>
        <w:pStyle w:val="ConsPlusNormal"/>
        <w:ind w:firstLine="540"/>
        <w:jc w:val="both"/>
      </w:pPr>
      <w:r w:rsidRPr="00A16FAB">
        <w:t>--------------------------------</w:t>
      </w:r>
    </w:p>
    <w:p w:rsidR="00A16FAB" w:rsidRPr="00A16FAB" w:rsidRDefault="00A16FAB">
      <w:pPr>
        <w:pStyle w:val="ConsPlusNormal"/>
        <w:spacing w:before="220"/>
        <w:ind w:firstLine="540"/>
        <w:jc w:val="both"/>
      </w:pPr>
      <w:r w:rsidRPr="00A16FAB">
        <w:t>&lt;*&gt; Для налогоплательщиков единого налога, не имеющих наемных работников, при исчислении ЕНВД значение показателя в зависимости от уровня заработной платы работников равно 1.0.</w:t>
      </w:r>
    </w:p>
    <w:p w:rsidR="00A16FAB" w:rsidRPr="00A16FAB" w:rsidRDefault="00A16FAB">
      <w:pPr>
        <w:pStyle w:val="ConsPlusNormal"/>
        <w:spacing w:before="220"/>
        <w:ind w:firstLine="540"/>
        <w:jc w:val="both"/>
      </w:pPr>
      <w:r w:rsidRPr="00A16FAB">
        <w:t xml:space="preserve">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 </w:t>
      </w:r>
      <w:proofErr w:type="gramStart"/>
      <w:r w:rsidRPr="00A16FAB">
        <w:t xml:space="preserve">Величина выплачиваемой среднемесячной заработной платы на одного работника определяется налогоплательщиком в целом по предприятию с учетом отработанного времени за налоговый период на основании данных налоговых карточек по учету доходов и налога на доходы физических лиц по </w:t>
      </w:r>
      <w:hyperlink r:id="rId5" w:history="1">
        <w:r w:rsidRPr="00A16FAB">
          <w:t>форме N 1-НДФЛ</w:t>
        </w:r>
      </w:hyperlink>
      <w:r w:rsidRPr="00A16FAB">
        <w:t xml:space="preserve">, справок о доходах физических лиц по </w:t>
      </w:r>
      <w:hyperlink r:id="rId6" w:history="1">
        <w:r w:rsidRPr="00A16FAB">
          <w:t>форме N 2-НДФЛ</w:t>
        </w:r>
      </w:hyperlink>
      <w:r w:rsidRPr="00A16FAB">
        <w:t>, а также данных на выплату работникам заработной платы в соответствии с формами</w:t>
      </w:r>
      <w:proofErr w:type="gramEnd"/>
      <w:r w:rsidRPr="00A16FAB">
        <w:t xml:space="preserve">, </w:t>
      </w:r>
      <w:proofErr w:type="gramStart"/>
      <w:r w:rsidRPr="00A16FAB">
        <w:t>утвержденными</w:t>
      </w:r>
      <w:proofErr w:type="gramEnd"/>
      <w:r w:rsidRPr="00A16FAB">
        <w:t xml:space="preserve"> Росстатом.</w:t>
      </w:r>
    </w:p>
    <w:p w:rsidR="00A16FAB" w:rsidRPr="00A16FAB" w:rsidRDefault="00A16FAB">
      <w:pPr>
        <w:pStyle w:val="ConsPlusNormal"/>
        <w:spacing w:before="220"/>
        <w:ind w:firstLine="540"/>
        <w:jc w:val="both"/>
      </w:pPr>
      <w:r w:rsidRPr="00A16FAB">
        <w:t>Величина среднемесячной заработной платы на одного работника, применяемая при расчете коэффициента базовой доходности К</w:t>
      </w:r>
      <w:proofErr w:type="gramStart"/>
      <w:r w:rsidRPr="00A16FAB">
        <w:t>2</w:t>
      </w:r>
      <w:proofErr w:type="gramEnd"/>
      <w:r w:rsidRPr="00A16FAB">
        <w:t>, определяется путем деления среднемесячной заработной платы на среднесписочную численность организации или индивидуального предпринимателя, являющегося работодателем.</w:t>
      </w:r>
    </w:p>
    <w:p w:rsidR="00A16FAB" w:rsidRPr="00A16FAB" w:rsidRDefault="00A16FAB">
      <w:pPr>
        <w:pStyle w:val="ConsPlusNormal"/>
        <w:spacing w:before="220"/>
        <w:ind w:firstLine="540"/>
        <w:jc w:val="both"/>
      </w:pPr>
      <w:proofErr w:type="gramStart"/>
      <w:r w:rsidRPr="00A16FAB">
        <w:t xml:space="preserve">Для расчета среднемесячной заработной платы используются данные, отраженные в Расчете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w:t>
      </w:r>
      <w:hyperlink r:id="rId7" w:history="1">
        <w:r w:rsidRPr="00A16FAB">
          <w:t>формы 4-ФСС</w:t>
        </w:r>
      </w:hyperlink>
      <w:r w:rsidRPr="00A16FAB">
        <w:t xml:space="preserve"> РФ.</w:t>
      </w:r>
      <w:proofErr w:type="gramEnd"/>
    </w:p>
    <w:p w:rsidR="00A16FAB" w:rsidRPr="00A16FAB" w:rsidRDefault="00A16FAB">
      <w:pPr>
        <w:pStyle w:val="ConsPlusNormal"/>
        <w:spacing w:before="220"/>
        <w:ind w:firstLine="540"/>
        <w:jc w:val="both"/>
      </w:pPr>
      <w:proofErr w:type="gramStart"/>
      <w:r w:rsidRPr="00A16FAB">
        <w:t xml:space="preserve">Для расчета среднесписочной численности используются данные, отраженные в Расчете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w:t>
      </w:r>
      <w:hyperlink r:id="rId8" w:history="1">
        <w:r w:rsidRPr="00A16FAB">
          <w:t>формы 4-ФСС</w:t>
        </w:r>
      </w:hyperlink>
      <w:r w:rsidRPr="00A16FAB">
        <w:t xml:space="preserve"> РФ.</w:t>
      </w:r>
      <w:proofErr w:type="gramEnd"/>
    </w:p>
    <w:p w:rsidR="00A16FAB" w:rsidRPr="00A16FAB" w:rsidRDefault="00A16FAB">
      <w:pPr>
        <w:pStyle w:val="ConsPlusNormal"/>
        <w:jc w:val="both"/>
      </w:pPr>
    </w:p>
    <w:p w:rsidR="00F110F6" w:rsidRPr="00A16FAB" w:rsidRDefault="003A70F2">
      <w:bookmarkStart w:id="1" w:name="_GoBack"/>
      <w:bookmarkEnd w:id="1"/>
    </w:p>
    <w:sectPr w:rsidR="00F110F6" w:rsidRPr="00A16FAB" w:rsidSect="00A16FAB">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FAB"/>
    <w:rsid w:val="003A70F2"/>
    <w:rsid w:val="00711A2E"/>
    <w:rsid w:val="00A16FAB"/>
    <w:rsid w:val="00E3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6F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6F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6FA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6F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6F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6F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CEF310792E89FA481774C1F4EAC742A72DB785621525222F6971EEC09CE2F1210AD5D6C7A902EAhBg9K" TargetMode="External"/><Relationship Id="rId3" Type="http://schemas.openxmlformats.org/officeDocument/2006/relationships/settings" Target="settings.xml"/><Relationship Id="rId7" Type="http://schemas.openxmlformats.org/officeDocument/2006/relationships/hyperlink" Target="consultantplus://offline/ref=98CEF310792E89FA481774C1F4EAC742A72DB785621525222F6971EEC09CE2F1210AD5D6C7A902EAhBg9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8CEF310792E89FA481774C1F4EAC742A724B68E611625222F6971EEC09CE2F1210AD5D6C7A803E8hBg8K" TargetMode="External"/><Relationship Id="rId5" Type="http://schemas.openxmlformats.org/officeDocument/2006/relationships/hyperlink" Target="consultantplus://offline/ref=98CEF310792E89FA481774C1F4EAC742A12CBE8C6718782827307DECC793BDE62643D9D7C7A903hEg8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Семенова Алёна Алексеевна</cp:lastModifiedBy>
  <cp:revision>2</cp:revision>
  <dcterms:created xsi:type="dcterms:W3CDTF">2018-04-20T10:35:00Z</dcterms:created>
  <dcterms:modified xsi:type="dcterms:W3CDTF">2018-04-20T10:35:00Z</dcterms:modified>
</cp:coreProperties>
</file>