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E7" w:rsidRPr="001C0D17" w:rsidRDefault="000C4BE7">
      <w:pPr>
        <w:pStyle w:val="ConsPlusNormal"/>
        <w:jc w:val="both"/>
      </w:pPr>
      <w:bookmarkStart w:id="0" w:name="_GoBack"/>
      <w:bookmarkEnd w:id="0"/>
    </w:p>
    <w:p w:rsidR="000C4BE7" w:rsidRPr="001C0D17" w:rsidRDefault="000C4BE7">
      <w:pPr>
        <w:pStyle w:val="ConsPlusNormal"/>
        <w:jc w:val="right"/>
        <w:outlineLvl w:val="0"/>
      </w:pPr>
      <w:r w:rsidRPr="001C0D17">
        <w:t>Приложение 1</w:t>
      </w:r>
    </w:p>
    <w:p w:rsidR="000C4BE7" w:rsidRPr="001C0D17" w:rsidRDefault="000C4BE7">
      <w:pPr>
        <w:pStyle w:val="ConsPlusNormal"/>
        <w:jc w:val="right"/>
      </w:pPr>
      <w:r w:rsidRPr="001C0D17">
        <w:t>к Положению</w:t>
      </w:r>
    </w:p>
    <w:p w:rsidR="000C4BE7" w:rsidRPr="001C0D17" w:rsidRDefault="000C4BE7">
      <w:pPr>
        <w:pStyle w:val="ConsPlusNormal"/>
        <w:jc w:val="both"/>
      </w:pPr>
    </w:p>
    <w:p w:rsidR="000C4BE7" w:rsidRPr="001C0D17" w:rsidRDefault="000C4BE7">
      <w:pPr>
        <w:pStyle w:val="ConsPlusNormal"/>
        <w:jc w:val="center"/>
      </w:pPr>
      <w:bookmarkStart w:id="1" w:name="P25"/>
      <w:bookmarkEnd w:id="1"/>
      <w:r w:rsidRPr="001C0D17">
        <w:t>ЗНАЧЕНИЯ</w:t>
      </w:r>
    </w:p>
    <w:p w:rsidR="000C4BE7" w:rsidRPr="001C0D17" w:rsidRDefault="000C4BE7">
      <w:pPr>
        <w:pStyle w:val="ConsPlusNormal"/>
        <w:jc w:val="center"/>
      </w:pPr>
      <w:r w:rsidRPr="001C0D17">
        <w:t>ПОКАЗАТЕЛЯ, УЧИТЫВАЮЩЕГО ОСОБЕННОСТИ</w:t>
      </w:r>
    </w:p>
    <w:p w:rsidR="000C4BE7" w:rsidRPr="001C0D17" w:rsidRDefault="000C4BE7">
      <w:pPr>
        <w:pStyle w:val="ConsPlusNormal"/>
        <w:jc w:val="center"/>
      </w:pPr>
      <w:r w:rsidRPr="001C0D17">
        <w:t>ВЕДЕНИЯ ПРЕДПРИНИМАТЕЛЬСКОЙ ДЕЯТЕЛЬНОСТИ</w:t>
      </w:r>
    </w:p>
    <w:p w:rsidR="000C4BE7" w:rsidRPr="001C0D17" w:rsidRDefault="000C4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54"/>
        <w:gridCol w:w="2098"/>
      </w:tblGrid>
      <w:tr w:rsidR="001C0D17" w:rsidRPr="001C0D17">
        <w:tc>
          <w:tcPr>
            <w:tcW w:w="10054" w:type="dxa"/>
          </w:tcPr>
          <w:p w:rsidR="000C4BE7" w:rsidRPr="001C0D17" w:rsidRDefault="000C4BE7">
            <w:pPr>
              <w:pStyle w:val="ConsPlusNormal"/>
              <w:jc w:val="center"/>
            </w:pPr>
            <w:r w:rsidRPr="001C0D17">
              <w:t>Вид предпринимательской деятельности</w:t>
            </w:r>
          </w:p>
        </w:tc>
        <w:tc>
          <w:tcPr>
            <w:tcW w:w="2098" w:type="dxa"/>
          </w:tcPr>
          <w:p w:rsidR="000C4BE7" w:rsidRPr="001C0D17" w:rsidRDefault="000C4BE7">
            <w:pPr>
              <w:pStyle w:val="ConsPlusNormal"/>
            </w:pPr>
            <w:r w:rsidRPr="001C0D17">
              <w:t>Значение коэффициента К</w:t>
            </w:r>
            <w:proofErr w:type="gramStart"/>
            <w:r w:rsidRPr="001C0D17">
              <w:t>2</w:t>
            </w:r>
            <w:proofErr w:type="gramEnd"/>
          </w:p>
        </w:tc>
      </w:tr>
      <w:tr w:rsidR="001C0D17" w:rsidRPr="001C0D17">
        <w:tc>
          <w:tcPr>
            <w:tcW w:w="10054" w:type="dxa"/>
          </w:tcPr>
          <w:p w:rsidR="000C4BE7" w:rsidRPr="001C0D17" w:rsidRDefault="000C4BE7">
            <w:pPr>
              <w:pStyle w:val="ConsPlusNormal"/>
              <w:jc w:val="center"/>
            </w:pPr>
            <w:r w:rsidRPr="001C0D17">
              <w:t>1</w:t>
            </w:r>
          </w:p>
        </w:tc>
        <w:tc>
          <w:tcPr>
            <w:tcW w:w="2098" w:type="dxa"/>
          </w:tcPr>
          <w:p w:rsidR="000C4BE7" w:rsidRPr="001C0D17" w:rsidRDefault="000C4BE7">
            <w:pPr>
              <w:pStyle w:val="ConsPlusNormal"/>
              <w:jc w:val="center"/>
            </w:pPr>
            <w:r w:rsidRPr="001C0D17">
              <w:t>2</w:t>
            </w:r>
          </w:p>
        </w:tc>
      </w:tr>
      <w:tr w:rsidR="001C0D17" w:rsidRPr="001C0D17">
        <w:tc>
          <w:tcPr>
            <w:tcW w:w="12152" w:type="dxa"/>
            <w:gridSpan w:val="2"/>
          </w:tcPr>
          <w:p w:rsidR="000C4BE7" w:rsidRPr="001C0D17" w:rsidRDefault="000C4BE7">
            <w:pPr>
              <w:pStyle w:val="ConsPlusNormal"/>
            </w:pPr>
            <w:r w:rsidRPr="001C0D17">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r>
      <w:tr w:rsidR="001C0D17" w:rsidRPr="001C0D17">
        <w:tc>
          <w:tcPr>
            <w:tcW w:w="10054" w:type="dxa"/>
          </w:tcPr>
          <w:p w:rsidR="000C4BE7" w:rsidRPr="001C0D17" w:rsidRDefault="000C4BE7">
            <w:pPr>
              <w:pStyle w:val="ConsPlusNormal"/>
            </w:pPr>
            <w:r w:rsidRPr="001C0D17">
              <w:t>- торговля продовольственными товарами и товарами смешанного ассортимента &lt;**&gt;</w:t>
            </w:r>
          </w:p>
        </w:tc>
        <w:tc>
          <w:tcPr>
            <w:tcW w:w="2098" w:type="dxa"/>
          </w:tcPr>
          <w:p w:rsidR="000C4BE7" w:rsidRPr="001C0D17" w:rsidRDefault="000C4BE7">
            <w:pPr>
              <w:pStyle w:val="ConsPlusNormal"/>
              <w:jc w:val="center"/>
            </w:pPr>
            <w:r w:rsidRPr="001C0D17">
              <w:t>0.38</w:t>
            </w:r>
          </w:p>
        </w:tc>
      </w:tr>
      <w:tr w:rsidR="001C0D17" w:rsidRPr="001C0D17">
        <w:tc>
          <w:tcPr>
            <w:tcW w:w="10054" w:type="dxa"/>
          </w:tcPr>
          <w:p w:rsidR="000C4BE7" w:rsidRPr="001C0D17" w:rsidRDefault="000C4BE7">
            <w:pPr>
              <w:pStyle w:val="ConsPlusNormal"/>
            </w:pPr>
            <w:r w:rsidRPr="001C0D17">
              <w:t>- торговля непродовольственными товарами &lt;**&gt;</w:t>
            </w:r>
          </w:p>
        </w:tc>
        <w:tc>
          <w:tcPr>
            <w:tcW w:w="2098" w:type="dxa"/>
          </w:tcPr>
          <w:p w:rsidR="000C4BE7" w:rsidRPr="001C0D17" w:rsidRDefault="000C4BE7">
            <w:pPr>
              <w:pStyle w:val="ConsPlusNormal"/>
              <w:jc w:val="center"/>
            </w:pPr>
            <w:r w:rsidRPr="001C0D17">
              <w:t>0.38</w:t>
            </w:r>
          </w:p>
        </w:tc>
      </w:tr>
      <w:tr w:rsidR="001C0D17" w:rsidRPr="001C0D17">
        <w:tc>
          <w:tcPr>
            <w:tcW w:w="12152" w:type="dxa"/>
            <w:gridSpan w:val="2"/>
          </w:tcPr>
          <w:p w:rsidR="000C4BE7" w:rsidRPr="001C0D17" w:rsidRDefault="000C4BE7">
            <w:pPr>
              <w:pStyle w:val="ConsPlusNormal"/>
            </w:pPr>
            <w:r w:rsidRPr="001C0D17">
              <w:t>2.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r>
      <w:tr w:rsidR="001C0D17" w:rsidRPr="001C0D17">
        <w:tc>
          <w:tcPr>
            <w:tcW w:w="10054" w:type="dxa"/>
          </w:tcPr>
          <w:p w:rsidR="000C4BE7" w:rsidRPr="001C0D17" w:rsidRDefault="000C4BE7">
            <w:pPr>
              <w:pStyle w:val="ConsPlusNormal"/>
            </w:pPr>
            <w:r w:rsidRPr="001C0D17">
              <w:t>-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&lt;***&gt;</w:t>
            </w:r>
          </w:p>
        </w:tc>
        <w:tc>
          <w:tcPr>
            <w:tcW w:w="2098" w:type="dxa"/>
          </w:tcPr>
          <w:p w:rsidR="000C4BE7" w:rsidRPr="001C0D17" w:rsidRDefault="000C4BE7">
            <w:pPr>
              <w:pStyle w:val="ConsPlusNormal"/>
              <w:jc w:val="center"/>
            </w:pPr>
            <w:r w:rsidRPr="001C0D17">
              <w:t>0.4</w:t>
            </w:r>
          </w:p>
        </w:tc>
      </w:tr>
      <w:tr w:rsidR="001C0D17" w:rsidRPr="001C0D17">
        <w:tc>
          <w:tcPr>
            <w:tcW w:w="10054" w:type="dxa"/>
          </w:tcPr>
          <w:p w:rsidR="000C4BE7" w:rsidRPr="001C0D17" w:rsidRDefault="000C4BE7">
            <w:pPr>
              <w:pStyle w:val="ConsPlusNormal"/>
            </w:pPr>
            <w:r w:rsidRPr="001C0D17">
              <w:t>-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 &lt;***&gt;</w:t>
            </w:r>
          </w:p>
        </w:tc>
        <w:tc>
          <w:tcPr>
            <w:tcW w:w="2098" w:type="dxa"/>
          </w:tcPr>
          <w:p w:rsidR="000C4BE7" w:rsidRPr="001C0D17" w:rsidRDefault="000C4BE7">
            <w:pPr>
              <w:pStyle w:val="ConsPlusNormal"/>
              <w:jc w:val="center"/>
            </w:pPr>
            <w:r w:rsidRPr="001C0D17">
              <w:t>0.3</w:t>
            </w:r>
          </w:p>
        </w:tc>
      </w:tr>
      <w:tr w:rsidR="001C0D17" w:rsidRPr="001C0D17">
        <w:tc>
          <w:tcPr>
            <w:tcW w:w="10054" w:type="dxa"/>
          </w:tcPr>
          <w:p w:rsidR="000C4BE7" w:rsidRPr="001C0D17" w:rsidRDefault="000C4BE7">
            <w:pPr>
              <w:pStyle w:val="ConsPlusNormal"/>
            </w:pPr>
            <w:r w:rsidRPr="001C0D17">
              <w:t>- развозная и разносная розничная торговля</w:t>
            </w:r>
          </w:p>
        </w:tc>
        <w:tc>
          <w:tcPr>
            <w:tcW w:w="2098" w:type="dxa"/>
          </w:tcPr>
          <w:p w:rsidR="000C4BE7" w:rsidRPr="001C0D17" w:rsidRDefault="000C4BE7">
            <w:pPr>
              <w:pStyle w:val="ConsPlusNormal"/>
              <w:jc w:val="center"/>
            </w:pPr>
            <w:r w:rsidRPr="001C0D17">
              <w:t>0.5</w:t>
            </w:r>
          </w:p>
        </w:tc>
      </w:tr>
      <w:tr w:rsidR="001C0D17" w:rsidRPr="001C0D17">
        <w:tblPrEx>
          <w:tblBorders>
            <w:insideH w:val="nil"/>
          </w:tblBorders>
        </w:tblPrEx>
        <w:tc>
          <w:tcPr>
            <w:tcW w:w="10054" w:type="dxa"/>
            <w:tcBorders>
              <w:bottom w:val="nil"/>
            </w:tcBorders>
          </w:tcPr>
          <w:p w:rsidR="000C4BE7" w:rsidRPr="001C0D17" w:rsidRDefault="000C4BE7">
            <w:pPr>
              <w:pStyle w:val="ConsPlusNormal"/>
            </w:pPr>
            <w:r w:rsidRPr="001C0D17">
              <w:t>3. Оказание услуг общественного питания через объекты организации общественного питания, имеющие залы обслуживания посетителей:</w:t>
            </w:r>
          </w:p>
        </w:tc>
        <w:tc>
          <w:tcPr>
            <w:tcW w:w="2098" w:type="dxa"/>
            <w:tcBorders>
              <w:bottom w:val="nil"/>
            </w:tcBorders>
          </w:tcPr>
          <w:p w:rsidR="000C4BE7" w:rsidRPr="001C0D17" w:rsidRDefault="000C4BE7">
            <w:pPr>
              <w:pStyle w:val="ConsPlusNormal"/>
              <w:jc w:val="center"/>
            </w:pPr>
            <w:r w:rsidRPr="001C0D17">
              <w:t>0.5</w:t>
            </w:r>
          </w:p>
        </w:tc>
      </w:tr>
      <w:tr w:rsidR="001C0D17" w:rsidRPr="001C0D17">
        <w:tblPrEx>
          <w:tblBorders>
            <w:insideH w:val="nil"/>
          </w:tblBorders>
        </w:tblPrEx>
        <w:tc>
          <w:tcPr>
            <w:tcW w:w="10054" w:type="dxa"/>
            <w:tcBorders>
              <w:top w:val="nil"/>
              <w:bottom w:val="nil"/>
            </w:tcBorders>
          </w:tcPr>
          <w:p w:rsidR="000C4BE7" w:rsidRPr="001C0D17" w:rsidRDefault="000C4BE7">
            <w:pPr>
              <w:pStyle w:val="ConsPlusNormal"/>
            </w:pPr>
            <w:r w:rsidRPr="001C0D17">
              <w:lastRenderedPageBreak/>
              <w:t>- ресторан, бар</w:t>
            </w:r>
          </w:p>
        </w:tc>
        <w:tc>
          <w:tcPr>
            <w:tcW w:w="2098" w:type="dxa"/>
            <w:tcBorders>
              <w:top w:val="nil"/>
              <w:bottom w:val="nil"/>
            </w:tcBorders>
          </w:tcPr>
          <w:p w:rsidR="000C4BE7" w:rsidRPr="001C0D17" w:rsidRDefault="000C4BE7">
            <w:pPr>
              <w:pStyle w:val="ConsPlusNormal"/>
              <w:jc w:val="center"/>
            </w:pPr>
            <w:r w:rsidRPr="001C0D17">
              <w:t>0.5</w:t>
            </w:r>
          </w:p>
        </w:tc>
      </w:tr>
      <w:tr w:rsidR="001C0D17" w:rsidRPr="001C0D17">
        <w:tblPrEx>
          <w:tblBorders>
            <w:insideH w:val="nil"/>
          </w:tblBorders>
        </w:tblPrEx>
        <w:tc>
          <w:tcPr>
            <w:tcW w:w="10054" w:type="dxa"/>
            <w:tcBorders>
              <w:top w:val="nil"/>
            </w:tcBorders>
          </w:tcPr>
          <w:p w:rsidR="000C4BE7" w:rsidRPr="001C0D17" w:rsidRDefault="000C4BE7">
            <w:pPr>
              <w:pStyle w:val="ConsPlusNormal"/>
            </w:pPr>
            <w:r w:rsidRPr="001C0D17">
              <w:t>- кафе, закусочная</w:t>
            </w:r>
          </w:p>
        </w:tc>
        <w:tc>
          <w:tcPr>
            <w:tcW w:w="2098" w:type="dxa"/>
            <w:tcBorders>
              <w:top w:val="nil"/>
            </w:tcBorders>
          </w:tcPr>
          <w:p w:rsidR="000C4BE7" w:rsidRPr="001C0D17" w:rsidRDefault="000C4BE7">
            <w:pPr>
              <w:pStyle w:val="ConsPlusNormal"/>
              <w:jc w:val="center"/>
            </w:pPr>
            <w:r w:rsidRPr="001C0D17">
              <w:t>0.5</w:t>
            </w:r>
          </w:p>
        </w:tc>
      </w:tr>
      <w:tr w:rsidR="001C0D17" w:rsidRPr="001C0D17">
        <w:tc>
          <w:tcPr>
            <w:tcW w:w="10054" w:type="dxa"/>
          </w:tcPr>
          <w:p w:rsidR="000C4BE7" w:rsidRPr="001C0D17" w:rsidRDefault="000C4BE7">
            <w:pPr>
              <w:pStyle w:val="ConsPlusNormal"/>
            </w:pPr>
            <w:r w:rsidRPr="001C0D17">
              <w:t>4. Оказание услуг общественного питания, осуществляемых через объекты организации общественного питания, не имеющие зала обслуживания</w:t>
            </w:r>
          </w:p>
        </w:tc>
        <w:tc>
          <w:tcPr>
            <w:tcW w:w="2098" w:type="dxa"/>
          </w:tcPr>
          <w:p w:rsidR="000C4BE7" w:rsidRPr="001C0D17" w:rsidRDefault="000C4BE7">
            <w:pPr>
              <w:pStyle w:val="ConsPlusNormal"/>
              <w:jc w:val="center"/>
            </w:pPr>
            <w:r w:rsidRPr="001C0D17">
              <w:t>0.5</w:t>
            </w:r>
          </w:p>
        </w:tc>
      </w:tr>
      <w:tr w:rsidR="001C0D17" w:rsidRPr="001C0D17">
        <w:tc>
          <w:tcPr>
            <w:tcW w:w="10054" w:type="dxa"/>
          </w:tcPr>
          <w:p w:rsidR="000C4BE7" w:rsidRPr="001C0D17" w:rsidRDefault="000C4BE7">
            <w:pPr>
              <w:pStyle w:val="ConsPlusNormal"/>
            </w:pPr>
            <w:r w:rsidRPr="001C0D17">
              <w:t>5. Оказание бытовых услуг &lt;*&gt;</w:t>
            </w:r>
          </w:p>
        </w:tc>
        <w:tc>
          <w:tcPr>
            <w:tcW w:w="2098" w:type="dxa"/>
          </w:tcPr>
          <w:p w:rsidR="000C4BE7" w:rsidRPr="001C0D17" w:rsidRDefault="000C4BE7">
            <w:pPr>
              <w:pStyle w:val="ConsPlusNormal"/>
              <w:jc w:val="center"/>
            </w:pPr>
            <w:r w:rsidRPr="001C0D17">
              <w:t>0.5</w:t>
            </w:r>
          </w:p>
        </w:tc>
      </w:tr>
      <w:tr w:rsidR="001C0D17" w:rsidRPr="001C0D17">
        <w:tc>
          <w:tcPr>
            <w:tcW w:w="12152" w:type="dxa"/>
            <w:gridSpan w:val="2"/>
          </w:tcPr>
          <w:p w:rsidR="000C4BE7" w:rsidRPr="001C0D17" w:rsidRDefault="000C4BE7">
            <w:pPr>
              <w:pStyle w:val="ConsPlusNormal"/>
            </w:pPr>
            <w:r w:rsidRPr="001C0D17">
              <w:t>6. Оказание автотранспортных услуг по перевозке пассажиров и грузов</w:t>
            </w:r>
          </w:p>
        </w:tc>
      </w:tr>
      <w:tr w:rsidR="001C0D17" w:rsidRPr="001C0D17">
        <w:tc>
          <w:tcPr>
            <w:tcW w:w="10054" w:type="dxa"/>
          </w:tcPr>
          <w:p w:rsidR="000C4BE7" w:rsidRPr="001C0D17" w:rsidRDefault="000C4BE7">
            <w:pPr>
              <w:pStyle w:val="ConsPlusNormal"/>
            </w:pPr>
            <w:r w:rsidRPr="001C0D17">
              <w:t>- перевозка пассажиров легковыми автомобилями</w:t>
            </w:r>
          </w:p>
        </w:tc>
        <w:tc>
          <w:tcPr>
            <w:tcW w:w="2098" w:type="dxa"/>
          </w:tcPr>
          <w:p w:rsidR="000C4BE7" w:rsidRPr="001C0D17" w:rsidRDefault="000C4BE7">
            <w:pPr>
              <w:pStyle w:val="ConsPlusNormal"/>
              <w:jc w:val="center"/>
            </w:pPr>
            <w:r w:rsidRPr="001C0D17">
              <w:t>1.0</w:t>
            </w:r>
          </w:p>
        </w:tc>
      </w:tr>
      <w:tr w:rsidR="001C0D17" w:rsidRPr="001C0D17">
        <w:tc>
          <w:tcPr>
            <w:tcW w:w="10054" w:type="dxa"/>
          </w:tcPr>
          <w:p w:rsidR="000C4BE7" w:rsidRPr="001C0D17" w:rsidRDefault="000C4BE7">
            <w:pPr>
              <w:pStyle w:val="ConsPlusNormal"/>
            </w:pPr>
            <w:r w:rsidRPr="001C0D17">
              <w:t>- перевозка пассажиров автобусом по утвержденным графикам и маршрутам (внутрирайонные перевозки)</w:t>
            </w:r>
          </w:p>
        </w:tc>
        <w:tc>
          <w:tcPr>
            <w:tcW w:w="2098" w:type="dxa"/>
          </w:tcPr>
          <w:p w:rsidR="000C4BE7" w:rsidRPr="001C0D17" w:rsidRDefault="000C4BE7">
            <w:pPr>
              <w:pStyle w:val="ConsPlusNormal"/>
              <w:jc w:val="center"/>
            </w:pPr>
            <w:r w:rsidRPr="001C0D17">
              <w:t>0.24</w:t>
            </w:r>
          </w:p>
        </w:tc>
      </w:tr>
      <w:tr w:rsidR="001C0D17" w:rsidRPr="001C0D17">
        <w:tc>
          <w:tcPr>
            <w:tcW w:w="10054" w:type="dxa"/>
          </w:tcPr>
          <w:p w:rsidR="000C4BE7" w:rsidRPr="001C0D17" w:rsidRDefault="000C4BE7">
            <w:pPr>
              <w:pStyle w:val="ConsPlusNormal"/>
            </w:pPr>
            <w:r w:rsidRPr="001C0D17">
              <w:t>- перевозка пассажиров автобусом</w:t>
            </w:r>
          </w:p>
        </w:tc>
        <w:tc>
          <w:tcPr>
            <w:tcW w:w="2098" w:type="dxa"/>
          </w:tcPr>
          <w:p w:rsidR="000C4BE7" w:rsidRPr="001C0D17" w:rsidRDefault="000C4BE7">
            <w:pPr>
              <w:pStyle w:val="ConsPlusNormal"/>
              <w:jc w:val="center"/>
            </w:pPr>
            <w:r w:rsidRPr="001C0D17">
              <w:t>1.0</w:t>
            </w:r>
          </w:p>
        </w:tc>
      </w:tr>
      <w:tr w:rsidR="001C0D17" w:rsidRPr="001C0D17">
        <w:tc>
          <w:tcPr>
            <w:tcW w:w="10054" w:type="dxa"/>
          </w:tcPr>
          <w:p w:rsidR="000C4BE7" w:rsidRPr="001C0D17" w:rsidRDefault="000C4BE7">
            <w:pPr>
              <w:pStyle w:val="ConsPlusNormal"/>
            </w:pPr>
            <w:r w:rsidRPr="001C0D17">
              <w:t>- грузовые перевозки</w:t>
            </w:r>
          </w:p>
        </w:tc>
        <w:tc>
          <w:tcPr>
            <w:tcW w:w="2098" w:type="dxa"/>
          </w:tcPr>
          <w:p w:rsidR="000C4BE7" w:rsidRPr="001C0D17" w:rsidRDefault="000C4BE7">
            <w:pPr>
              <w:pStyle w:val="ConsPlusNormal"/>
              <w:jc w:val="center"/>
            </w:pPr>
            <w:r w:rsidRPr="001C0D17">
              <w:t>1.0</w:t>
            </w:r>
          </w:p>
        </w:tc>
      </w:tr>
      <w:tr w:rsidR="001C0D17" w:rsidRPr="001C0D17">
        <w:tc>
          <w:tcPr>
            <w:tcW w:w="10054" w:type="dxa"/>
          </w:tcPr>
          <w:p w:rsidR="000C4BE7" w:rsidRPr="001C0D17" w:rsidRDefault="000C4BE7">
            <w:pPr>
              <w:pStyle w:val="ConsPlusNormal"/>
            </w:pPr>
            <w:r w:rsidRPr="001C0D17">
              <w:t>7.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098" w:type="dxa"/>
          </w:tcPr>
          <w:p w:rsidR="000C4BE7" w:rsidRPr="001C0D17" w:rsidRDefault="000C4BE7">
            <w:pPr>
              <w:pStyle w:val="ConsPlusNormal"/>
              <w:jc w:val="center"/>
            </w:pPr>
            <w:r w:rsidRPr="001C0D17">
              <w:t>0.4</w:t>
            </w:r>
          </w:p>
        </w:tc>
      </w:tr>
      <w:tr w:rsidR="001C0D17" w:rsidRPr="001C0D17">
        <w:tc>
          <w:tcPr>
            <w:tcW w:w="10054" w:type="dxa"/>
          </w:tcPr>
          <w:p w:rsidR="000C4BE7" w:rsidRPr="001C0D17" w:rsidRDefault="000C4BE7">
            <w:pPr>
              <w:pStyle w:val="ConsPlusNormal"/>
            </w:pPr>
            <w:r w:rsidRPr="001C0D17">
              <w:t>- распространение наружной рекламы с использованием рекламных конструкций с автоматической сменой изображения</w:t>
            </w:r>
          </w:p>
        </w:tc>
        <w:tc>
          <w:tcPr>
            <w:tcW w:w="2098" w:type="dxa"/>
          </w:tcPr>
          <w:p w:rsidR="000C4BE7" w:rsidRPr="001C0D17" w:rsidRDefault="000C4BE7">
            <w:pPr>
              <w:pStyle w:val="ConsPlusNormal"/>
              <w:jc w:val="center"/>
            </w:pPr>
            <w:r w:rsidRPr="001C0D17">
              <w:t>0.4</w:t>
            </w:r>
          </w:p>
        </w:tc>
      </w:tr>
      <w:tr w:rsidR="001C0D17" w:rsidRPr="001C0D17">
        <w:tc>
          <w:tcPr>
            <w:tcW w:w="10054" w:type="dxa"/>
          </w:tcPr>
          <w:p w:rsidR="000C4BE7" w:rsidRPr="001C0D17" w:rsidRDefault="000C4BE7">
            <w:pPr>
              <w:pStyle w:val="ConsPlusNormal"/>
            </w:pPr>
            <w:r w:rsidRPr="001C0D17">
              <w:t>- распространение наружной рекламы с использованием электронных табло</w:t>
            </w:r>
          </w:p>
        </w:tc>
        <w:tc>
          <w:tcPr>
            <w:tcW w:w="2098" w:type="dxa"/>
          </w:tcPr>
          <w:p w:rsidR="000C4BE7" w:rsidRPr="001C0D17" w:rsidRDefault="000C4BE7">
            <w:pPr>
              <w:pStyle w:val="ConsPlusNormal"/>
              <w:jc w:val="center"/>
            </w:pPr>
            <w:r w:rsidRPr="001C0D17">
              <w:t>0.4</w:t>
            </w:r>
          </w:p>
        </w:tc>
      </w:tr>
      <w:tr w:rsidR="001C0D17" w:rsidRPr="001C0D17">
        <w:tc>
          <w:tcPr>
            <w:tcW w:w="10054" w:type="dxa"/>
          </w:tcPr>
          <w:p w:rsidR="000C4BE7" w:rsidRPr="001C0D17" w:rsidRDefault="000C4BE7">
            <w:pPr>
              <w:pStyle w:val="ConsPlusNormal"/>
            </w:pPr>
            <w:r w:rsidRPr="001C0D17">
              <w:t>8. Размещение рекламы с использованием внешних и внутренних поверхностей транспортных средств</w:t>
            </w:r>
          </w:p>
        </w:tc>
        <w:tc>
          <w:tcPr>
            <w:tcW w:w="2098" w:type="dxa"/>
          </w:tcPr>
          <w:p w:rsidR="000C4BE7" w:rsidRPr="001C0D17" w:rsidRDefault="000C4BE7">
            <w:pPr>
              <w:pStyle w:val="ConsPlusNormal"/>
              <w:jc w:val="center"/>
            </w:pPr>
            <w:r w:rsidRPr="001C0D17">
              <w:t>0.4</w:t>
            </w:r>
          </w:p>
        </w:tc>
      </w:tr>
      <w:tr w:rsidR="001C0D17" w:rsidRPr="001C0D17">
        <w:tc>
          <w:tcPr>
            <w:tcW w:w="12152" w:type="dxa"/>
            <w:gridSpan w:val="2"/>
          </w:tcPr>
          <w:p w:rsidR="000C4BE7" w:rsidRPr="001C0D17" w:rsidRDefault="000C4BE7">
            <w:pPr>
              <w:pStyle w:val="ConsPlusNormal"/>
            </w:pPr>
            <w:r w:rsidRPr="001C0D17">
              <w:t>9. Другие виды услуг:</w:t>
            </w:r>
          </w:p>
        </w:tc>
      </w:tr>
      <w:tr w:rsidR="001C0D17" w:rsidRPr="001C0D17">
        <w:tc>
          <w:tcPr>
            <w:tcW w:w="10054" w:type="dxa"/>
          </w:tcPr>
          <w:p w:rsidR="000C4BE7" w:rsidRPr="001C0D17" w:rsidRDefault="000C4BE7">
            <w:pPr>
              <w:pStyle w:val="ConsPlusNormal"/>
            </w:pPr>
            <w:r w:rsidRPr="001C0D17">
              <w:t>- оказание услуг по ремонту, техническому обслуживанию и мойке автомототранспортных средств</w:t>
            </w:r>
          </w:p>
        </w:tc>
        <w:tc>
          <w:tcPr>
            <w:tcW w:w="2098" w:type="dxa"/>
          </w:tcPr>
          <w:p w:rsidR="000C4BE7" w:rsidRPr="001C0D17" w:rsidRDefault="000C4BE7">
            <w:pPr>
              <w:pStyle w:val="ConsPlusNormal"/>
              <w:jc w:val="center"/>
            </w:pPr>
            <w:r w:rsidRPr="001C0D17">
              <w:t>1.0</w:t>
            </w:r>
          </w:p>
        </w:tc>
      </w:tr>
      <w:tr w:rsidR="001C0D17" w:rsidRPr="001C0D17">
        <w:tc>
          <w:tcPr>
            <w:tcW w:w="10054" w:type="dxa"/>
          </w:tcPr>
          <w:p w:rsidR="000C4BE7" w:rsidRPr="001C0D17" w:rsidRDefault="000C4BE7">
            <w:pPr>
              <w:pStyle w:val="ConsPlusNormal"/>
            </w:pPr>
            <w:r w:rsidRPr="001C0D17">
              <w:t>- оказание ветеринарных услуг</w:t>
            </w:r>
          </w:p>
        </w:tc>
        <w:tc>
          <w:tcPr>
            <w:tcW w:w="2098" w:type="dxa"/>
          </w:tcPr>
          <w:p w:rsidR="000C4BE7" w:rsidRPr="001C0D17" w:rsidRDefault="000C4BE7">
            <w:pPr>
              <w:pStyle w:val="ConsPlusNormal"/>
              <w:jc w:val="center"/>
            </w:pPr>
            <w:r w:rsidRPr="001C0D17">
              <w:t>0.1</w:t>
            </w:r>
          </w:p>
        </w:tc>
      </w:tr>
      <w:tr w:rsidR="001C0D17" w:rsidRPr="001C0D17">
        <w:tc>
          <w:tcPr>
            <w:tcW w:w="10054" w:type="dxa"/>
          </w:tcPr>
          <w:p w:rsidR="000C4BE7" w:rsidRPr="001C0D17" w:rsidRDefault="000C4BE7">
            <w:pPr>
              <w:pStyle w:val="ConsPlusNormal"/>
            </w:pPr>
            <w:r w:rsidRPr="001C0D17">
              <w:t xml:space="preserve">- оказание услуг по предоставлению во временное владение (в пользование) мест для стоянки </w:t>
            </w:r>
            <w:r w:rsidRPr="001C0D17">
              <w:lastRenderedPageBreak/>
              <w:t>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2098" w:type="dxa"/>
          </w:tcPr>
          <w:p w:rsidR="000C4BE7" w:rsidRPr="001C0D17" w:rsidRDefault="000C4BE7">
            <w:pPr>
              <w:pStyle w:val="ConsPlusNormal"/>
              <w:jc w:val="center"/>
            </w:pPr>
            <w:r w:rsidRPr="001C0D17">
              <w:lastRenderedPageBreak/>
              <w:t>1.0</w:t>
            </w:r>
          </w:p>
        </w:tc>
      </w:tr>
      <w:tr w:rsidR="001C0D17" w:rsidRPr="001C0D17">
        <w:tc>
          <w:tcPr>
            <w:tcW w:w="10054" w:type="dxa"/>
          </w:tcPr>
          <w:p w:rsidR="000C4BE7" w:rsidRPr="001C0D17" w:rsidRDefault="000C4BE7">
            <w:pPr>
              <w:pStyle w:val="ConsPlusNormal"/>
            </w:pPr>
            <w:r w:rsidRPr="001C0D17">
              <w:lastRenderedPageBreak/>
              <w:t>-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98" w:type="dxa"/>
          </w:tcPr>
          <w:p w:rsidR="000C4BE7" w:rsidRPr="001C0D17" w:rsidRDefault="000C4BE7">
            <w:pPr>
              <w:pStyle w:val="ConsPlusNormal"/>
              <w:jc w:val="center"/>
            </w:pPr>
            <w:r w:rsidRPr="001C0D17">
              <w:t>0.6</w:t>
            </w:r>
          </w:p>
        </w:tc>
      </w:tr>
      <w:tr w:rsidR="001C0D17" w:rsidRPr="001C0D17">
        <w:tc>
          <w:tcPr>
            <w:tcW w:w="10054" w:type="dxa"/>
          </w:tcPr>
          <w:p w:rsidR="000C4BE7" w:rsidRPr="001C0D17" w:rsidRDefault="000C4BE7">
            <w:pPr>
              <w:pStyle w:val="ConsPlusNormal"/>
            </w:pPr>
            <w:r w:rsidRPr="001C0D17">
              <w:t>-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площадь которых:</w:t>
            </w:r>
          </w:p>
          <w:p w:rsidR="000C4BE7" w:rsidRPr="001C0D17" w:rsidRDefault="000C4BE7">
            <w:pPr>
              <w:pStyle w:val="ConsPlusNormal"/>
            </w:pPr>
            <w:r w:rsidRPr="001C0D17">
              <w:t>не превышает 10 квадратных метров;</w:t>
            </w:r>
          </w:p>
          <w:p w:rsidR="000C4BE7" w:rsidRPr="001C0D17" w:rsidRDefault="000C4BE7">
            <w:pPr>
              <w:pStyle w:val="ConsPlusNormal"/>
            </w:pPr>
            <w:r w:rsidRPr="001C0D17">
              <w:t>превышает 10 квадратных метров</w:t>
            </w:r>
          </w:p>
        </w:tc>
        <w:tc>
          <w:tcPr>
            <w:tcW w:w="2098" w:type="dxa"/>
          </w:tcPr>
          <w:p w:rsidR="000C4BE7" w:rsidRPr="001C0D17" w:rsidRDefault="000C4BE7">
            <w:pPr>
              <w:pStyle w:val="ConsPlusNormal"/>
              <w:jc w:val="center"/>
            </w:pPr>
            <w:r w:rsidRPr="001C0D17">
              <w:t>0.3</w:t>
            </w:r>
          </w:p>
        </w:tc>
      </w:tr>
    </w:tbl>
    <w:p w:rsidR="000C4BE7" w:rsidRPr="001C0D17" w:rsidRDefault="000C4BE7">
      <w:pPr>
        <w:pStyle w:val="ConsPlusNormal"/>
        <w:jc w:val="both"/>
      </w:pPr>
    </w:p>
    <w:p w:rsidR="000C4BE7" w:rsidRPr="001C0D17" w:rsidRDefault="000C4BE7">
      <w:pPr>
        <w:pStyle w:val="ConsPlusNormal"/>
        <w:ind w:firstLine="540"/>
        <w:jc w:val="both"/>
      </w:pPr>
      <w:r w:rsidRPr="001C0D17">
        <w:t>--------------------------------</w:t>
      </w:r>
    </w:p>
    <w:p w:rsidR="000C4BE7" w:rsidRPr="001C0D17" w:rsidRDefault="000C4BE7">
      <w:pPr>
        <w:pStyle w:val="ConsPlusNormal"/>
        <w:spacing w:before="220"/>
        <w:ind w:firstLine="540"/>
        <w:jc w:val="both"/>
      </w:pPr>
      <w:r w:rsidRPr="001C0D17">
        <w:t xml:space="preserve">&lt;*&gt; Использован "Общероссийский </w:t>
      </w:r>
      <w:hyperlink r:id="rId5" w:history="1">
        <w:r w:rsidRPr="001C0D17">
          <w:t>классификатор</w:t>
        </w:r>
      </w:hyperlink>
      <w:r w:rsidRPr="001C0D17">
        <w:t xml:space="preserve"> услуг населению </w:t>
      </w:r>
      <w:proofErr w:type="gramStart"/>
      <w:r w:rsidRPr="001C0D17">
        <w:t>ОК</w:t>
      </w:r>
      <w:proofErr w:type="gramEnd"/>
      <w:r w:rsidRPr="001C0D17">
        <w:t xml:space="preserve"> 002-93 (ОКУН)".</w:t>
      </w:r>
    </w:p>
    <w:p w:rsidR="000C4BE7" w:rsidRPr="001C0D17" w:rsidRDefault="000C4BE7">
      <w:pPr>
        <w:pStyle w:val="ConsPlusNormal"/>
        <w:spacing w:before="220"/>
        <w:ind w:firstLine="540"/>
        <w:jc w:val="both"/>
      </w:pPr>
      <w:r w:rsidRPr="001C0D17">
        <w:t>Для налогоплательщиков, осуществляющих три и более вида бытовых услуг, при условии документального подтверждения факта оказания каждого вида услуг значение коэффициента К</w:t>
      </w:r>
      <w:proofErr w:type="gramStart"/>
      <w:r w:rsidRPr="001C0D17">
        <w:t>2</w:t>
      </w:r>
      <w:proofErr w:type="gramEnd"/>
      <w:r w:rsidRPr="001C0D17">
        <w:t xml:space="preserve"> определяется как произведение значения, указанного в приложении 2, и значения 0.9.</w:t>
      </w:r>
    </w:p>
    <w:p w:rsidR="000C4BE7" w:rsidRPr="001C0D17" w:rsidRDefault="000C4BE7">
      <w:pPr>
        <w:pStyle w:val="ConsPlusNormal"/>
        <w:spacing w:before="220"/>
        <w:ind w:firstLine="540"/>
        <w:jc w:val="both"/>
      </w:pPr>
      <w:r w:rsidRPr="001C0D17">
        <w:t>&lt;**&gt; Для налогоплательщиков, осуществляющих розничную торговлю через объекты стационарной торговой сети, имеющей торговые залы и (или) оказывающих услуги общественного питания в столовых при образовательных учреждениях в населенных пунктах с численностью населения:</w:t>
      </w:r>
    </w:p>
    <w:p w:rsidR="000C4BE7" w:rsidRPr="001C0D17" w:rsidRDefault="000C4BE7">
      <w:pPr>
        <w:pStyle w:val="ConsPlusNormal"/>
        <w:spacing w:before="220"/>
        <w:ind w:firstLine="540"/>
        <w:jc w:val="both"/>
      </w:pPr>
      <w:r w:rsidRPr="001C0D17">
        <w:t>до 100 человек включительно применять значение коэффициента К</w:t>
      </w:r>
      <w:proofErr w:type="gramStart"/>
      <w:r w:rsidRPr="001C0D17">
        <w:t>2</w:t>
      </w:r>
      <w:proofErr w:type="gramEnd"/>
      <w:r w:rsidRPr="001C0D17">
        <w:t>, равное 0.005;</w:t>
      </w:r>
    </w:p>
    <w:p w:rsidR="000C4BE7" w:rsidRPr="001C0D17" w:rsidRDefault="000C4BE7">
      <w:pPr>
        <w:pStyle w:val="ConsPlusNormal"/>
        <w:spacing w:before="220"/>
        <w:ind w:firstLine="540"/>
        <w:jc w:val="both"/>
      </w:pPr>
      <w:r w:rsidRPr="001C0D17">
        <w:t>от 100 до 250 человек включительно применять значение коэффициента К</w:t>
      </w:r>
      <w:proofErr w:type="gramStart"/>
      <w:r w:rsidRPr="001C0D17">
        <w:t>2</w:t>
      </w:r>
      <w:proofErr w:type="gramEnd"/>
      <w:r w:rsidRPr="001C0D17">
        <w:t>, равное 0.01.</w:t>
      </w:r>
    </w:p>
    <w:p w:rsidR="000C4BE7" w:rsidRPr="001C0D17" w:rsidRDefault="000C4BE7">
      <w:pPr>
        <w:pStyle w:val="ConsPlusNormal"/>
        <w:spacing w:before="220"/>
        <w:ind w:firstLine="540"/>
        <w:jc w:val="both"/>
      </w:pPr>
      <w:r w:rsidRPr="001C0D17">
        <w:t>Численность населения населенных пунктов области определяется в соответствии со статистическими данными Вологодского областного комитета государственной статистики по состоянию на 01.01.2011. Данные представляются Администрацией района.</w:t>
      </w:r>
    </w:p>
    <w:p w:rsidR="000C4BE7" w:rsidRPr="001C0D17" w:rsidRDefault="000C4BE7">
      <w:pPr>
        <w:pStyle w:val="ConsPlusNormal"/>
        <w:spacing w:before="220"/>
        <w:ind w:firstLine="540"/>
        <w:jc w:val="both"/>
      </w:pPr>
      <w:r w:rsidRPr="001C0D17">
        <w:t>&lt;***&gt; Для налогоплательщиков, осуществляющих деятельность по реализации лекарственных средств и товаров медицинского назначения через нестационарные торговые точки (фельдшерско-акушерские пункты), - применять значение коэффициента К</w:t>
      </w:r>
      <w:proofErr w:type="gramStart"/>
      <w:r w:rsidRPr="001C0D17">
        <w:t>2</w:t>
      </w:r>
      <w:proofErr w:type="gramEnd"/>
      <w:r w:rsidRPr="001C0D17">
        <w:t xml:space="preserve"> равное 0.005.</w:t>
      </w:r>
    </w:p>
    <w:p w:rsidR="000C4BE7" w:rsidRPr="001C0D17" w:rsidRDefault="000C4BE7">
      <w:pPr>
        <w:pStyle w:val="ConsPlusNormal"/>
        <w:jc w:val="both"/>
      </w:pPr>
    </w:p>
    <w:p w:rsidR="000C4BE7" w:rsidRPr="001C0D17" w:rsidRDefault="000C4BE7">
      <w:pPr>
        <w:pStyle w:val="ConsPlusNormal"/>
        <w:jc w:val="both"/>
      </w:pPr>
    </w:p>
    <w:p w:rsidR="000C4BE7" w:rsidRPr="001C0D17" w:rsidRDefault="000C4BE7">
      <w:pPr>
        <w:pStyle w:val="ConsPlusNormal"/>
        <w:jc w:val="both"/>
      </w:pPr>
    </w:p>
    <w:p w:rsidR="000C4BE7" w:rsidRPr="001C0D17" w:rsidRDefault="000C4BE7">
      <w:pPr>
        <w:pStyle w:val="ConsPlusNormal"/>
        <w:jc w:val="both"/>
      </w:pPr>
    </w:p>
    <w:p w:rsidR="000C4BE7" w:rsidRPr="001C0D17" w:rsidRDefault="000C4BE7">
      <w:pPr>
        <w:pStyle w:val="ConsPlusNormal"/>
        <w:jc w:val="both"/>
      </w:pPr>
    </w:p>
    <w:p w:rsidR="000C4BE7" w:rsidRPr="001C0D17" w:rsidRDefault="000C4BE7">
      <w:pPr>
        <w:pStyle w:val="ConsPlusNormal"/>
        <w:jc w:val="right"/>
        <w:outlineLvl w:val="0"/>
      </w:pPr>
      <w:r w:rsidRPr="001C0D17">
        <w:t>Приложение 2</w:t>
      </w:r>
    </w:p>
    <w:p w:rsidR="000C4BE7" w:rsidRPr="001C0D17" w:rsidRDefault="000C4BE7">
      <w:pPr>
        <w:pStyle w:val="ConsPlusNormal"/>
        <w:jc w:val="right"/>
      </w:pPr>
      <w:r w:rsidRPr="001C0D17">
        <w:t>к Положению</w:t>
      </w:r>
    </w:p>
    <w:p w:rsidR="000C4BE7" w:rsidRPr="001C0D17" w:rsidRDefault="000C4BE7">
      <w:pPr>
        <w:pStyle w:val="ConsPlusNormal"/>
        <w:jc w:val="both"/>
      </w:pPr>
    </w:p>
    <w:p w:rsidR="000C4BE7" w:rsidRPr="001C0D17" w:rsidRDefault="000C4BE7">
      <w:pPr>
        <w:pStyle w:val="ConsPlusNormal"/>
        <w:jc w:val="center"/>
      </w:pPr>
      <w:r w:rsidRPr="001C0D17">
        <w:t>ЗНАЧЕНИЕ</w:t>
      </w:r>
    </w:p>
    <w:p w:rsidR="000C4BE7" w:rsidRPr="001C0D17" w:rsidRDefault="000C4BE7">
      <w:pPr>
        <w:pStyle w:val="ConsPlusNormal"/>
        <w:jc w:val="center"/>
      </w:pPr>
      <w:r w:rsidRPr="001C0D17">
        <w:t>ПОКАЗАТЕЛЯ, УЧИТЫВАЮЩЕГО УРОВЕНЬ</w:t>
      </w:r>
    </w:p>
    <w:p w:rsidR="000C4BE7" w:rsidRPr="001C0D17" w:rsidRDefault="000C4BE7">
      <w:pPr>
        <w:pStyle w:val="ConsPlusNormal"/>
        <w:jc w:val="center"/>
      </w:pPr>
      <w:r w:rsidRPr="001C0D17">
        <w:t>ВЫПЛАЧИВАЕМОЙ ЗАРАБОТНОЙ ПЛАТЫ НАЕМНЫМ РАБОТНИКАМ</w:t>
      </w:r>
    </w:p>
    <w:p w:rsidR="000C4BE7" w:rsidRPr="001C0D17" w:rsidRDefault="000C4B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041"/>
        <w:gridCol w:w="2041"/>
        <w:gridCol w:w="1361"/>
      </w:tblGrid>
      <w:tr w:rsidR="001C0D17" w:rsidRPr="001C0D17">
        <w:tc>
          <w:tcPr>
            <w:tcW w:w="5499" w:type="dxa"/>
            <w:vMerge w:val="restart"/>
          </w:tcPr>
          <w:p w:rsidR="000C4BE7" w:rsidRPr="001C0D17" w:rsidRDefault="000C4BE7">
            <w:pPr>
              <w:pStyle w:val="ConsPlusNormal"/>
              <w:jc w:val="center"/>
            </w:pPr>
            <w:r w:rsidRPr="001C0D17">
              <w:t>Вид предпринимательской деятельности</w:t>
            </w:r>
          </w:p>
        </w:tc>
        <w:tc>
          <w:tcPr>
            <w:tcW w:w="4082" w:type="dxa"/>
            <w:gridSpan w:val="2"/>
          </w:tcPr>
          <w:p w:rsidR="000C4BE7" w:rsidRPr="001C0D17" w:rsidRDefault="000C4BE7">
            <w:pPr>
              <w:pStyle w:val="ConsPlusNormal"/>
            </w:pPr>
            <w:r w:rsidRPr="001C0D17">
              <w:t>Величина среднемесячной заработной платы на одного работника &lt;*&gt; при осуществлении предпринимательской деятельности в населенных пунктах, с численностью населения (рублей в месяц)</w:t>
            </w:r>
          </w:p>
        </w:tc>
        <w:tc>
          <w:tcPr>
            <w:tcW w:w="1361" w:type="dxa"/>
            <w:vMerge w:val="restart"/>
          </w:tcPr>
          <w:p w:rsidR="000C4BE7" w:rsidRPr="001C0D17" w:rsidRDefault="000C4BE7">
            <w:pPr>
              <w:pStyle w:val="ConsPlusNormal"/>
            </w:pPr>
            <w:r w:rsidRPr="001C0D17">
              <w:t>Значение показателя</w:t>
            </w:r>
          </w:p>
        </w:tc>
      </w:tr>
      <w:tr w:rsidR="001C0D17" w:rsidRPr="001C0D17">
        <w:tc>
          <w:tcPr>
            <w:tcW w:w="5499" w:type="dxa"/>
            <w:vMerge/>
          </w:tcPr>
          <w:p w:rsidR="000C4BE7" w:rsidRPr="001C0D17" w:rsidRDefault="000C4BE7"/>
        </w:tc>
        <w:tc>
          <w:tcPr>
            <w:tcW w:w="2041" w:type="dxa"/>
          </w:tcPr>
          <w:p w:rsidR="000C4BE7" w:rsidRPr="001C0D17" w:rsidRDefault="000C4BE7">
            <w:pPr>
              <w:pStyle w:val="ConsPlusNormal"/>
              <w:jc w:val="center"/>
            </w:pPr>
            <w:r w:rsidRPr="001C0D17">
              <w:t>свыше 2500 чел.</w:t>
            </w:r>
          </w:p>
        </w:tc>
        <w:tc>
          <w:tcPr>
            <w:tcW w:w="2041" w:type="dxa"/>
          </w:tcPr>
          <w:p w:rsidR="000C4BE7" w:rsidRPr="001C0D17" w:rsidRDefault="000C4BE7">
            <w:pPr>
              <w:pStyle w:val="ConsPlusNormal"/>
              <w:jc w:val="center"/>
            </w:pPr>
            <w:r w:rsidRPr="001C0D17">
              <w:t>до 2500 чел.</w:t>
            </w:r>
          </w:p>
        </w:tc>
        <w:tc>
          <w:tcPr>
            <w:tcW w:w="1361" w:type="dxa"/>
            <w:vMerge/>
          </w:tcPr>
          <w:p w:rsidR="000C4BE7" w:rsidRPr="001C0D17" w:rsidRDefault="000C4BE7"/>
        </w:tc>
      </w:tr>
      <w:tr w:rsidR="001C0D17" w:rsidRPr="001C0D17">
        <w:tc>
          <w:tcPr>
            <w:tcW w:w="5499" w:type="dxa"/>
          </w:tcPr>
          <w:p w:rsidR="000C4BE7" w:rsidRPr="001C0D17" w:rsidRDefault="000C4BE7">
            <w:pPr>
              <w:pStyle w:val="ConsPlusNormal"/>
              <w:jc w:val="center"/>
            </w:pPr>
            <w:r w:rsidRPr="001C0D17">
              <w:t>1</w:t>
            </w:r>
          </w:p>
        </w:tc>
        <w:tc>
          <w:tcPr>
            <w:tcW w:w="2041" w:type="dxa"/>
          </w:tcPr>
          <w:p w:rsidR="000C4BE7" w:rsidRPr="001C0D17" w:rsidRDefault="000C4BE7">
            <w:pPr>
              <w:pStyle w:val="ConsPlusNormal"/>
              <w:jc w:val="center"/>
            </w:pPr>
            <w:r w:rsidRPr="001C0D17">
              <w:t>2</w:t>
            </w:r>
          </w:p>
        </w:tc>
        <w:tc>
          <w:tcPr>
            <w:tcW w:w="2041" w:type="dxa"/>
          </w:tcPr>
          <w:p w:rsidR="000C4BE7" w:rsidRPr="001C0D17" w:rsidRDefault="000C4BE7">
            <w:pPr>
              <w:pStyle w:val="ConsPlusNormal"/>
              <w:jc w:val="center"/>
            </w:pPr>
            <w:r w:rsidRPr="001C0D17">
              <w:t>3</w:t>
            </w:r>
          </w:p>
        </w:tc>
        <w:tc>
          <w:tcPr>
            <w:tcW w:w="1361" w:type="dxa"/>
          </w:tcPr>
          <w:p w:rsidR="000C4BE7" w:rsidRPr="001C0D17" w:rsidRDefault="000C4BE7">
            <w:pPr>
              <w:pStyle w:val="ConsPlusNormal"/>
              <w:jc w:val="center"/>
            </w:pPr>
            <w:r w:rsidRPr="001C0D17">
              <w:t>4</w:t>
            </w:r>
          </w:p>
        </w:tc>
      </w:tr>
      <w:tr w:rsidR="001C0D17" w:rsidRPr="001C0D17">
        <w:tc>
          <w:tcPr>
            <w:tcW w:w="5499" w:type="dxa"/>
            <w:vMerge w:val="restart"/>
          </w:tcPr>
          <w:p w:rsidR="000C4BE7" w:rsidRPr="001C0D17" w:rsidRDefault="000C4BE7">
            <w:pPr>
              <w:pStyle w:val="ConsPlusNormal"/>
            </w:pPr>
            <w:r w:rsidRPr="001C0D17">
              <w:t>1.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2041" w:type="dxa"/>
            <w:tcBorders>
              <w:bottom w:val="nil"/>
            </w:tcBorders>
          </w:tcPr>
          <w:p w:rsidR="000C4BE7" w:rsidRPr="001C0D17" w:rsidRDefault="000C4BE7">
            <w:pPr>
              <w:pStyle w:val="ConsPlusNormal"/>
              <w:jc w:val="center"/>
            </w:pPr>
            <w:r w:rsidRPr="001C0D17">
              <w:t>14000 и более</w:t>
            </w:r>
          </w:p>
        </w:tc>
        <w:tc>
          <w:tcPr>
            <w:tcW w:w="2041" w:type="dxa"/>
            <w:tcBorders>
              <w:bottom w:val="nil"/>
            </w:tcBorders>
          </w:tcPr>
          <w:p w:rsidR="000C4BE7" w:rsidRPr="001C0D17" w:rsidRDefault="000C4BE7">
            <w:pPr>
              <w:pStyle w:val="ConsPlusNormal"/>
              <w:jc w:val="center"/>
            </w:pPr>
            <w:r w:rsidRPr="001C0D17">
              <w:t>10000 и более</w:t>
            </w:r>
          </w:p>
        </w:tc>
        <w:tc>
          <w:tcPr>
            <w:tcW w:w="1361" w:type="dxa"/>
            <w:tcBorders>
              <w:bottom w:val="nil"/>
            </w:tcBorders>
          </w:tcPr>
          <w:p w:rsidR="000C4BE7" w:rsidRPr="001C0D17" w:rsidRDefault="000C4BE7">
            <w:pPr>
              <w:pStyle w:val="ConsPlusNormal"/>
              <w:jc w:val="center"/>
            </w:pPr>
            <w:r w:rsidRPr="001C0D17">
              <w:t>1.0</w:t>
            </w:r>
          </w:p>
        </w:tc>
      </w:tr>
      <w:tr w:rsidR="001C0D17" w:rsidRPr="001C0D17">
        <w:tc>
          <w:tcPr>
            <w:tcW w:w="5499" w:type="dxa"/>
            <w:vMerge/>
          </w:tcPr>
          <w:p w:rsidR="000C4BE7" w:rsidRPr="001C0D17" w:rsidRDefault="000C4BE7"/>
        </w:tc>
        <w:tc>
          <w:tcPr>
            <w:tcW w:w="2041" w:type="dxa"/>
            <w:tcBorders>
              <w:top w:val="nil"/>
            </w:tcBorders>
          </w:tcPr>
          <w:p w:rsidR="000C4BE7" w:rsidRPr="001C0D17" w:rsidRDefault="000C4BE7">
            <w:pPr>
              <w:pStyle w:val="ConsPlusNormal"/>
              <w:jc w:val="center"/>
            </w:pPr>
            <w:r w:rsidRPr="001C0D17">
              <w:t>менее 14000</w:t>
            </w:r>
          </w:p>
        </w:tc>
        <w:tc>
          <w:tcPr>
            <w:tcW w:w="2041" w:type="dxa"/>
            <w:tcBorders>
              <w:top w:val="nil"/>
            </w:tcBorders>
          </w:tcPr>
          <w:p w:rsidR="000C4BE7" w:rsidRPr="001C0D17" w:rsidRDefault="000C4BE7">
            <w:pPr>
              <w:pStyle w:val="ConsPlusNormal"/>
              <w:jc w:val="center"/>
            </w:pPr>
            <w:r w:rsidRPr="001C0D17">
              <w:t>менее 10000</w:t>
            </w:r>
          </w:p>
        </w:tc>
        <w:tc>
          <w:tcPr>
            <w:tcW w:w="1361" w:type="dxa"/>
            <w:tcBorders>
              <w:top w:val="nil"/>
            </w:tcBorders>
          </w:tcPr>
          <w:p w:rsidR="000C4BE7" w:rsidRPr="001C0D17" w:rsidRDefault="000C4BE7">
            <w:pPr>
              <w:pStyle w:val="ConsPlusNormal"/>
              <w:jc w:val="center"/>
            </w:pPr>
            <w:r w:rsidRPr="001C0D17">
              <w:t>2.5</w:t>
            </w:r>
          </w:p>
        </w:tc>
      </w:tr>
      <w:tr w:rsidR="001C0D17" w:rsidRPr="001C0D17">
        <w:tc>
          <w:tcPr>
            <w:tcW w:w="5499" w:type="dxa"/>
            <w:vMerge w:val="restart"/>
          </w:tcPr>
          <w:p w:rsidR="000C4BE7" w:rsidRPr="001C0D17" w:rsidRDefault="000C4BE7">
            <w:pPr>
              <w:pStyle w:val="ConsPlusNormal"/>
            </w:pPr>
            <w:r w:rsidRPr="001C0D17">
              <w:t>2.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2041" w:type="dxa"/>
            <w:tcBorders>
              <w:bottom w:val="nil"/>
            </w:tcBorders>
          </w:tcPr>
          <w:p w:rsidR="000C4BE7" w:rsidRPr="001C0D17" w:rsidRDefault="000C4BE7">
            <w:pPr>
              <w:pStyle w:val="ConsPlusNormal"/>
              <w:jc w:val="center"/>
            </w:pPr>
            <w:r w:rsidRPr="001C0D17">
              <w:t>14000 и более</w:t>
            </w:r>
          </w:p>
        </w:tc>
        <w:tc>
          <w:tcPr>
            <w:tcW w:w="2041" w:type="dxa"/>
            <w:tcBorders>
              <w:bottom w:val="nil"/>
            </w:tcBorders>
          </w:tcPr>
          <w:p w:rsidR="000C4BE7" w:rsidRPr="001C0D17" w:rsidRDefault="000C4BE7">
            <w:pPr>
              <w:pStyle w:val="ConsPlusNormal"/>
              <w:jc w:val="center"/>
            </w:pPr>
            <w:r w:rsidRPr="001C0D17">
              <w:t>10000 и более</w:t>
            </w:r>
          </w:p>
        </w:tc>
        <w:tc>
          <w:tcPr>
            <w:tcW w:w="1361" w:type="dxa"/>
            <w:tcBorders>
              <w:bottom w:val="nil"/>
            </w:tcBorders>
          </w:tcPr>
          <w:p w:rsidR="000C4BE7" w:rsidRPr="001C0D17" w:rsidRDefault="000C4BE7">
            <w:pPr>
              <w:pStyle w:val="ConsPlusNormal"/>
              <w:jc w:val="center"/>
            </w:pPr>
            <w:r w:rsidRPr="001C0D17">
              <w:t>1.0</w:t>
            </w:r>
          </w:p>
        </w:tc>
      </w:tr>
      <w:tr w:rsidR="001C0D17" w:rsidRPr="001C0D17">
        <w:tc>
          <w:tcPr>
            <w:tcW w:w="5499" w:type="dxa"/>
            <w:vMerge/>
          </w:tcPr>
          <w:p w:rsidR="000C4BE7" w:rsidRPr="001C0D17" w:rsidRDefault="000C4BE7"/>
        </w:tc>
        <w:tc>
          <w:tcPr>
            <w:tcW w:w="2041" w:type="dxa"/>
            <w:tcBorders>
              <w:top w:val="nil"/>
            </w:tcBorders>
          </w:tcPr>
          <w:p w:rsidR="000C4BE7" w:rsidRPr="001C0D17" w:rsidRDefault="000C4BE7">
            <w:pPr>
              <w:pStyle w:val="ConsPlusNormal"/>
              <w:jc w:val="center"/>
            </w:pPr>
            <w:r w:rsidRPr="001C0D17">
              <w:t>менее 14000</w:t>
            </w:r>
          </w:p>
        </w:tc>
        <w:tc>
          <w:tcPr>
            <w:tcW w:w="2041" w:type="dxa"/>
            <w:tcBorders>
              <w:top w:val="nil"/>
            </w:tcBorders>
          </w:tcPr>
          <w:p w:rsidR="000C4BE7" w:rsidRPr="001C0D17" w:rsidRDefault="000C4BE7">
            <w:pPr>
              <w:pStyle w:val="ConsPlusNormal"/>
              <w:jc w:val="center"/>
            </w:pPr>
            <w:r w:rsidRPr="001C0D17">
              <w:t>менее 10000</w:t>
            </w:r>
          </w:p>
        </w:tc>
        <w:tc>
          <w:tcPr>
            <w:tcW w:w="1361" w:type="dxa"/>
            <w:tcBorders>
              <w:top w:val="nil"/>
            </w:tcBorders>
          </w:tcPr>
          <w:p w:rsidR="000C4BE7" w:rsidRPr="001C0D17" w:rsidRDefault="000C4BE7">
            <w:pPr>
              <w:pStyle w:val="ConsPlusNormal"/>
              <w:jc w:val="center"/>
            </w:pPr>
            <w:r w:rsidRPr="001C0D17">
              <w:t>2.5</w:t>
            </w:r>
          </w:p>
        </w:tc>
      </w:tr>
      <w:tr w:rsidR="001C0D17" w:rsidRPr="001C0D17">
        <w:tc>
          <w:tcPr>
            <w:tcW w:w="5499" w:type="dxa"/>
            <w:vMerge w:val="restart"/>
          </w:tcPr>
          <w:p w:rsidR="000C4BE7" w:rsidRPr="001C0D17" w:rsidRDefault="000C4BE7">
            <w:pPr>
              <w:pStyle w:val="ConsPlusNormal"/>
            </w:pPr>
            <w:r w:rsidRPr="001C0D17">
              <w:t>3. Оказание услуг общественного питания через объекты организации общественного питания, имеющие залы обслуживания посетителей</w:t>
            </w:r>
          </w:p>
        </w:tc>
        <w:tc>
          <w:tcPr>
            <w:tcW w:w="2041" w:type="dxa"/>
            <w:tcBorders>
              <w:bottom w:val="nil"/>
            </w:tcBorders>
          </w:tcPr>
          <w:p w:rsidR="000C4BE7" w:rsidRPr="001C0D17" w:rsidRDefault="000C4BE7">
            <w:pPr>
              <w:pStyle w:val="ConsPlusNormal"/>
              <w:jc w:val="center"/>
            </w:pPr>
            <w:r w:rsidRPr="001C0D17">
              <w:t>14000 и более</w:t>
            </w:r>
          </w:p>
        </w:tc>
        <w:tc>
          <w:tcPr>
            <w:tcW w:w="2041" w:type="dxa"/>
            <w:tcBorders>
              <w:bottom w:val="nil"/>
            </w:tcBorders>
          </w:tcPr>
          <w:p w:rsidR="000C4BE7" w:rsidRPr="001C0D17" w:rsidRDefault="000C4BE7">
            <w:pPr>
              <w:pStyle w:val="ConsPlusNormal"/>
              <w:jc w:val="center"/>
            </w:pPr>
            <w:r w:rsidRPr="001C0D17">
              <w:t>10000 и более</w:t>
            </w:r>
          </w:p>
        </w:tc>
        <w:tc>
          <w:tcPr>
            <w:tcW w:w="1361" w:type="dxa"/>
            <w:tcBorders>
              <w:bottom w:val="nil"/>
            </w:tcBorders>
          </w:tcPr>
          <w:p w:rsidR="000C4BE7" w:rsidRPr="001C0D17" w:rsidRDefault="000C4BE7">
            <w:pPr>
              <w:pStyle w:val="ConsPlusNormal"/>
              <w:jc w:val="center"/>
            </w:pPr>
            <w:r w:rsidRPr="001C0D17">
              <w:t>1.0</w:t>
            </w:r>
          </w:p>
        </w:tc>
      </w:tr>
      <w:tr w:rsidR="001C0D17" w:rsidRPr="001C0D17">
        <w:tc>
          <w:tcPr>
            <w:tcW w:w="5499" w:type="dxa"/>
            <w:vMerge/>
          </w:tcPr>
          <w:p w:rsidR="000C4BE7" w:rsidRPr="001C0D17" w:rsidRDefault="000C4BE7"/>
        </w:tc>
        <w:tc>
          <w:tcPr>
            <w:tcW w:w="2041" w:type="dxa"/>
            <w:tcBorders>
              <w:top w:val="nil"/>
            </w:tcBorders>
          </w:tcPr>
          <w:p w:rsidR="000C4BE7" w:rsidRPr="001C0D17" w:rsidRDefault="000C4BE7">
            <w:pPr>
              <w:pStyle w:val="ConsPlusNormal"/>
              <w:jc w:val="center"/>
            </w:pPr>
            <w:r w:rsidRPr="001C0D17">
              <w:t>менее 14000</w:t>
            </w:r>
          </w:p>
        </w:tc>
        <w:tc>
          <w:tcPr>
            <w:tcW w:w="2041" w:type="dxa"/>
            <w:tcBorders>
              <w:top w:val="nil"/>
            </w:tcBorders>
          </w:tcPr>
          <w:p w:rsidR="000C4BE7" w:rsidRPr="001C0D17" w:rsidRDefault="000C4BE7">
            <w:pPr>
              <w:pStyle w:val="ConsPlusNormal"/>
              <w:jc w:val="center"/>
            </w:pPr>
            <w:r w:rsidRPr="001C0D17">
              <w:t>менее 10000</w:t>
            </w:r>
          </w:p>
        </w:tc>
        <w:tc>
          <w:tcPr>
            <w:tcW w:w="1361" w:type="dxa"/>
            <w:tcBorders>
              <w:top w:val="nil"/>
            </w:tcBorders>
          </w:tcPr>
          <w:p w:rsidR="000C4BE7" w:rsidRPr="001C0D17" w:rsidRDefault="000C4BE7">
            <w:pPr>
              <w:pStyle w:val="ConsPlusNormal"/>
              <w:jc w:val="center"/>
            </w:pPr>
            <w:r w:rsidRPr="001C0D17">
              <w:t>2.5</w:t>
            </w:r>
          </w:p>
        </w:tc>
      </w:tr>
      <w:tr w:rsidR="001C0D17" w:rsidRPr="001C0D17">
        <w:tc>
          <w:tcPr>
            <w:tcW w:w="5499" w:type="dxa"/>
            <w:vMerge w:val="restart"/>
          </w:tcPr>
          <w:p w:rsidR="000C4BE7" w:rsidRPr="001C0D17" w:rsidRDefault="000C4BE7">
            <w:pPr>
              <w:pStyle w:val="ConsPlusNormal"/>
            </w:pPr>
            <w:r w:rsidRPr="001C0D17">
              <w:t xml:space="preserve">4. Оказание услуг общественного питания через </w:t>
            </w:r>
            <w:r w:rsidRPr="001C0D17">
              <w:lastRenderedPageBreak/>
              <w:t>объекты организации общественного питания, не имеющие залы обслуживания</w:t>
            </w:r>
          </w:p>
        </w:tc>
        <w:tc>
          <w:tcPr>
            <w:tcW w:w="2041" w:type="dxa"/>
            <w:tcBorders>
              <w:bottom w:val="nil"/>
            </w:tcBorders>
          </w:tcPr>
          <w:p w:rsidR="000C4BE7" w:rsidRPr="001C0D17" w:rsidRDefault="000C4BE7">
            <w:pPr>
              <w:pStyle w:val="ConsPlusNormal"/>
              <w:jc w:val="center"/>
            </w:pPr>
            <w:r w:rsidRPr="001C0D17">
              <w:lastRenderedPageBreak/>
              <w:t>14000 и более</w:t>
            </w:r>
          </w:p>
        </w:tc>
        <w:tc>
          <w:tcPr>
            <w:tcW w:w="2041" w:type="dxa"/>
            <w:tcBorders>
              <w:bottom w:val="nil"/>
            </w:tcBorders>
          </w:tcPr>
          <w:p w:rsidR="000C4BE7" w:rsidRPr="001C0D17" w:rsidRDefault="000C4BE7">
            <w:pPr>
              <w:pStyle w:val="ConsPlusNormal"/>
              <w:jc w:val="center"/>
            </w:pPr>
            <w:r w:rsidRPr="001C0D17">
              <w:t>10000 и более</w:t>
            </w:r>
          </w:p>
        </w:tc>
        <w:tc>
          <w:tcPr>
            <w:tcW w:w="1361" w:type="dxa"/>
            <w:tcBorders>
              <w:bottom w:val="nil"/>
            </w:tcBorders>
          </w:tcPr>
          <w:p w:rsidR="000C4BE7" w:rsidRPr="001C0D17" w:rsidRDefault="000C4BE7">
            <w:pPr>
              <w:pStyle w:val="ConsPlusNormal"/>
              <w:jc w:val="center"/>
            </w:pPr>
            <w:r w:rsidRPr="001C0D17">
              <w:t>1.0</w:t>
            </w:r>
          </w:p>
        </w:tc>
      </w:tr>
      <w:tr w:rsidR="001C0D17" w:rsidRPr="001C0D17">
        <w:tc>
          <w:tcPr>
            <w:tcW w:w="5499" w:type="dxa"/>
            <w:vMerge/>
          </w:tcPr>
          <w:p w:rsidR="000C4BE7" w:rsidRPr="001C0D17" w:rsidRDefault="000C4BE7"/>
        </w:tc>
        <w:tc>
          <w:tcPr>
            <w:tcW w:w="2041" w:type="dxa"/>
            <w:tcBorders>
              <w:top w:val="nil"/>
            </w:tcBorders>
          </w:tcPr>
          <w:p w:rsidR="000C4BE7" w:rsidRPr="001C0D17" w:rsidRDefault="000C4BE7">
            <w:pPr>
              <w:pStyle w:val="ConsPlusNormal"/>
              <w:jc w:val="center"/>
            </w:pPr>
            <w:r w:rsidRPr="001C0D17">
              <w:t>менее 14000</w:t>
            </w:r>
          </w:p>
        </w:tc>
        <w:tc>
          <w:tcPr>
            <w:tcW w:w="2041" w:type="dxa"/>
            <w:tcBorders>
              <w:top w:val="nil"/>
            </w:tcBorders>
          </w:tcPr>
          <w:p w:rsidR="000C4BE7" w:rsidRPr="001C0D17" w:rsidRDefault="000C4BE7">
            <w:pPr>
              <w:pStyle w:val="ConsPlusNormal"/>
              <w:jc w:val="center"/>
            </w:pPr>
            <w:r w:rsidRPr="001C0D17">
              <w:t>менее 10000</w:t>
            </w:r>
          </w:p>
        </w:tc>
        <w:tc>
          <w:tcPr>
            <w:tcW w:w="1361" w:type="dxa"/>
            <w:tcBorders>
              <w:top w:val="nil"/>
            </w:tcBorders>
          </w:tcPr>
          <w:p w:rsidR="000C4BE7" w:rsidRPr="001C0D17" w:rsidRDefault="000C4BE7">
            <w:pPr>
              <w:pStyle w:val="ConsPlusNormal"/>
              <w:jc w:val="center"/>
            </w:pPr>
            <w:r w:rsidRPr="001C0D17">
              <w:t>2.5</w:t>
            </w:r>
          </w:p>
        </w:tc>
      </w:tr>
      <w:tr w:rsidR="001C0D17" w:rsidRPr="001C0D17">
        <w:tc>
          <w:tcPr>
            <w:tcW w:w="5499" w:type="dxa"/>
            <w:vMerge w:val="restart"/>
          </w:tcPr>
          <w:p w:rsidR="000C4BE7" w:rsidRPr="001C0D17" w:rsidRDefault="000C4BE7">
            <w:pPr>
              <w:pStyle w:val="ConsPlusNormal"/>
            </w:pPr>
            <w:r w:rsidRPr="001C0D17">
              <w:lastRenderedPageBreak/>
              <w:t>5.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41" w:type="dxa"/>
            <w:tcBorders>
              <w:bottom w:val="nil"/>
            </w:tcBorders>
          </w:tcPr>
          <w:p w:rsidR="000C4BE7" w:rsidRPr="001C0D17" w:rsidRDefault="000C4BE7">
            <w:pPr>
              <w:pStyle w:val="ConsPlusNormal"/>
              <w:jc w:val="center"/>
            </w:pPr>
            <w:r w:rsidRPr="001C0D17">
              <w:t>14000 и более</w:t>
            </w:r>
          </w:p>
        </w:tc>
        <w:tc>
          <w:tcPr>
            <w:tcW w:w="2041" w:type="dxa"/>
            <w:tcBorders>
              <w:bottom w:val="nil"/>
            </w:tcBorders>
          </w:tcPr>
          <w:p w:rsidR="000C4BE7" w:rsidRPr="001C0D17" w:rsidRDefault="000C4BE7">
            <w:pPr>
              <w:pStyle w:val="ConsPlusNormal"/>
              <w:jc w:val="center"/>
            </w:pPr>
            <w:r w:rsidRPr="001C0D17">
              <w:t>10000 и более</w:t>
            </w:r>
          </w:p>
        </w:tc>
        <w:tc>
          <w:tcPr>
            <w:tcW w:w="1361" w:type="dxa"/>
            <w:tcBorders>
              <w:bottom w:val="nil"/>
            </w:tcBorders>
          </w:tcPr>
          <w:p w:rsidR="000C4BE7" w:rsidRPr="001C0D17" w:rsidRDefault="000C4BE7">
            <w:pPr>
              <w:pStyle w:val="ConsPlusNormal"/>
              <w:jc w:val="center"/>
            </w:pPr>
            <w:r w:rsidRPr="001C0D17">
              <w:t>1.0</w:t>
            </w:r>
          </w:p>
        </w:tc>
      </w:tr>
      <w:tr w:rsidR="001C0D17" w:rsidRPr="001C0D17">
        <w:tc>
          <w:tcPr>
            <w:tcW w:w="5499" w:type="dxa"/>
            <w:vMerge/>
          </w:tcPr>
          <w:p w:rsidR="000C4BE7" w:rsidRPr="001C0D17" w:rsidRDefault="000C4BE7"/>
        </w:tc>
        <w:tc>
          <w:tcPr>
            <w:tcW w:w="2041" w:type="dxa"/>
            <w:tcBorders>
              <w:top w:val="nil"/>
            </w:tcBorders>
          </w:tcPr>
          <w:p w:rsidR="000C4BE7" w:rsidRPr="001C0D17" w:rsidRDefault="000C4BE7">
            <w:pPr>
              <w:pStyle w:val="ConsPlusNormal"/>
              <w:jc w:val="center"/>
            </w:pPr>
            <w:r w:rsidRPr="001C0D17">
              <w:t>менее 14000</w:t>
            </w:r>
          </w:p>
        </w:tc>
        <w:tc>
          <w:tcPr>
            <w:tcW w:w="2041" w:type="dxa"/>
            <w:tcBorders>
              <w:top w:val="nil"/>
            </w:tcBorders>
          </w:tcPr>
          <w:p w:rsidR="000C4BE7" w:rsidRPr="001C0D17" w:rsidRDefault="000C4BE7">
            <w:pPr>
              <w:pStyle w:val="ConsPlusNormal"/>
              <w:jc w:val="center"/>
            </w:pPr>
            <w:r w:rsidRPr="001C0D17">
              <w:t>менее 10000</w:t>
            </w:r>
          </w:p>
        </w:tc>
        <w:tc>
          <w:tcPr>
            <w:tcW w:w="1361" w:type="dxa"/>
            <w:tcBorders>
              <w:top w:val="nil"/>
            </w:tcBorders>
          </w:tcPr>
          <w:p w:rsidR="000C4BE7" w:rsidRPr="001C0D17" w:rsidRDefault="000C4BE7">
            <w:pPr>
              <w:pStyle w:val="ConsPlusNormal"/>
              <w:jc w:val="center"/>
            </w:pPr>
            <w:r w:rsidRPr="001C0D17">
              <w:t>2.5</w:t>
            </w:r>
          </w:p>
        </w:tc>
      </w:tr>
      <w:tr w:rsidR="001C0D17" w:rsidRPr="001C0D17">
        <w:tc>
          <w:tcPr>
            <w:tcW w:w="10942" w:type="dxa"/>
            <w:gridSpan w:val="4"/>
          </w:tcPr>
          <w:p w:rsidR="000C4BE7" w:rsidRPr="001C0D17" w:rsidRDefault="000C4BE7">
            <w:pPr>
              <w:pStyle w:val="ConsPlusNormal"/>
            </w:pPr>
            <w:r w:rsidRPr="001C0D17">
              <w:t>По остальным видам деятельности, переведенным на уплату единого налога на вмененный доход, значение показателя применяется в размере равном 1.0</w:t>
            </w:r>
          </w:p>
        </w:tc>
      </w:tr>
    </w:tbl>
    <w:p w:rsidR="000C4BE7" w:rsidRPr="001C0D17" w:rsidRDefault="000C4BE7">
      <w:pPr>
        <w:pStyle w:val="ConsPlusNormal"/>
        <w:jc w:val="both"/>
      </w:pPr>
    </w:p>
    <w:p w:rsidR="000C4BE7" w:rsidRPr="001C0D17" w:rsidRDefault="000C4BE7">
      <w:pPr>
        <w:pStyle w:val="ConsPlusNormal"/>
        <w:ind w:firstLine="540"/>
        <w:jc w:val="both"/>
      </w:pPr>
      <w:r w:rsidRPr="001C0D17">
        <w:t>--------------------------------</w:t>
      </w:r>
    </w:p>
    <w:p w:rsidR="000C4BE7" w:rsidRPr="001C0D17" w:rsidRDefault="000C4BE7">
      <w:pPr>
        <w:pStyle w:val="ConsPlusNormal"/>
        <w:spacing w:before="220"/>
        <w:ind w:firstLine="540"/>
        <w:jc w:val="both"/>
      </w:pPr>
      <w:r w:rsidRPr="001C0D17">
        <w:t>&lt;*&gt; 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равно 1.0.</w:t>
      </w:r>
    </w:p>
    <w:p w:rsidR="000C4BE7" w:rsidRPr="001C0D17" w:rsidRDefault="000C4BE7">
      <w:pPr>
        <w:pStyle w:val="ConsPlusNormal"/>
        <w:spacing w:before="220"/>
        <w:ind w:firstLine="540"/>
        <w:jc w:val="both"/>
      </w:pPr>
      <w:r w:rsidRPr="001C0D17">
        <w:t xml:space="preserve">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1C0D17">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6" w:history="1">
        <w:r w:rsidRPr="001C0D17">
          <w:t>форме N 1-НДФЛ</w:t>
        </w:r>
      </w:hyperlink>
      <w:r w:rsidRPr="001C0D17">
        <w:t xml:space="preserve">, справок о доходах физических лиц по </w:t>
      </w:r>
      <w:hyperlink r:id="rId7" w:history="1">
        <w:r w:rsidRPr="001C0D17">
          <w:t>форме N 2-НДФЛ</w:t>
        </w:r>
      </w:hyperlink>
      <w:r w:rsidRPr="001C0D17">
        <w:t>, а также данных на выплату работникам заработной платы, в соответствии с формами</w:t>
      </w:r>
      <w:proofErr w:type="gramEnd"/>
      <w:r w:rsidRPr="001C0D17">
        <w:t xml:space="preserve">, </w:t>
      </w:r>
      <w:proofErr w:type="gramStart"/>
      <w:r w:rsidRPr="001C0D17">
        <w:t>утвержденными</w:t>
      </w:r>
      <w:proofErr w:type="gramEnd"/>
      <w:r w:rsidRPr="001C0D17">
        <w:t xml:space="preserve"> Росстатом.</w:t>
      </w:r>
    </w:p>
    <w:p w:rsidR="000C4BE7" w:rsidRPr="001C0D17" w:rsidRDefault="000C4BE7">
      <w:pPr>
        <w:pStyle w:val="ConsPlusNormal"/>
        <w:spacing w:before="220"/>
        <w:ind w:firstLine="540"/>
        <w:jc w:val="both"/>
      </w:pPr>
      <w:r w:rsidRPr="001C0D17">
        <w:t>Величина среднемесячной заработной платы на одного работника, применяемая при расчете коэффициента базовой доходности К</w:t>
      </w:r>
      <w:proofErr w:type="gramStart"/>
      <w:r w:rsidRPr="001C0D17">
        <w:t>2</w:t>
      </w:r>
      <w:proofErr w:type="gramEnd"/>
      <w:r w:rsidRPr="001C0D17">
        <w:t>, определяется путем деления среднемесячной заработной платы на среднесписочную численность организации или индивидуального предпринимателя, являющегося работодателем.</w:t>
      </w:r>
    </w:p>
    <w:p w:rsidR="000C4BE7" w:rsidRPr="001C0D17" w:rsidRDefault="000C4BE7">
      <w:pPr>
        <w:pStyle w:val="ConsPlusNormal"/>
        <w:spacing w:before="220"/>
        <w:ind w:firstLine="540"/>
        <w:jc w:val="both"/>
      </w:pPr>
      <w:proofErr w:type="gramStart"/>
      <w:r w:rsidRPr="001C0D17">
        <w:t xml:space="preserve">Для расчета среднемесячной заработной платы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8" w:history="1">
        <w:r w:rsidRPr="001C0D17">
          <w:t>формы 4-ФСС</w:t>
        </w:r>
      </w:hyperlink>
      <w:r w:rsidRPr="001C0D17">
        <w:t xml:space="preserve"> РФ.</w:t>
      </w:r>
      <w:proofErr w:type="gramEnd"/>
    </w:p>
    <w:p w:rsidR="000C4BE7" w:rsidRPr="001C0D17" w:rsidRDefault="000C4BE7">
      <w:pPr>
        <w:pStyle w:val="ConsPlusNormal"/>
        <w:spacing w:before="220"/>
        <w:ind w:firstLine="540"/>
        <w:jc w:val="both"/>
      </w:pPr>
      <w:proofErr w:type="gramStart"/>
      <w:r w:rsidRPr="001C0D17">
        <w:lastRenderedPageBreak/>
        <w:t xml:space="preserve">Для расчета среднесписочной численности используются данные, отраженные в Расчете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hyperlink r:id="rId9" w:history="1">
        <w:r w:rsidRPr="001C0D17">
          <w:t>формы 4-ФСС</w:t>
        </w:r>
      </w:hyperlink>
      <w:r w:rsidRPr="001C0D17">
        <w:t xml:space="preserve"> РФ.</w:t>
      </w:r>
      <w:proofErr w:type="gramEnd"/>
    </w:p>
    <w:p w:rsidR="000C4BE7" w:rsidRPr="001C0D17" w:rsidRDefault="000C4BE7">
      <w:pPr>
        <w:pStyle w:val="ConsPlusNormal"/>
        <w:jc w:val="both"/>
      </w:pPr>
    </w:p>
    <w:p w:rsidR="000C4BE7" w:rsidRPr="001C0D17" w:rsidRDefault="000C4BE7">
      <w:pPr>
        <w:pStyle w:val="ConsPlusNormal"/>
        <w:jc w:val="both"/>
      </w:pPr>
    </w:p>
    <w:p w:rsidR="000C4BE7" w:rsidRPr="001C0D17" w:rsidRDefault="000C4BE7">
      <w:pPr>
        <w:pStyle w:val="ConsPlusNormal"/>
        <w:pBdr>
          <w:top w:val="single" w:sz="6" w:space="0" w:color="auto"/>
        </w:pBdr>
        <w:spacing w:before="100" w:after="100"/>
        <w:jc w:val="both"/>
        <w:rPr>
          <w:sz w:val="2"/>
          <w:szCs w:val="2"/>
        </w:rPr>
      </w:pPr>
    </w:p>
    <w:p w:rsidR="00F110F6" w:rsidRPr="001C0D17" w:rsidRDefault="00B3205C"/>
    <w:sectPr w:rsidR="00F110F6" w:rsidRPr="001C0D17" w:rsidSect="00FC509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E7"/>
    <w:rsid w:val="000C4BE7"/>
    <w:rsid w:val="001C0D17"/>
    <w:rsid w:val="00711A2E"/>
    <w:rsid w:val="00B3205C"/>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B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4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C4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C4B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E52ADE62EC3F5748EABB48CBB5E91A6896642ADD105F40049B54CA271F7937DDE84BB1B402E13AhAjFK" TargetMode="External"/><Relationship Id="rId3" Type="http://schemas.openxmlformats.org/officeDocument/2006/relationships/settings" Target="settings.xml"/><Relationship Id="rId7" Type="http://schemas.openxmlformats.org/officeDocument/2006/relationships/hyperlink" Target="consultantplus://offline/ref=D6E52ADE62EC3F5748EABB48CBB5E91A6B9F6526D2175F40049B54CA271F7937DDE84BB1B402E13AhAj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6E52ADE62EC3F5748EABB48CBB5E91A6E976D23D81D024A0CC258C820102620DAA147B0B402E0h3j8K" TargetMode="External"/><Relationship Id="rId11" Type="http://schemas.openxmlformats.org/officeDocument/2006/relationships/theme" Target="theme/theme1.xml"/><Relationship Id="rId5" Type="http://schemas.openxmlformats.org/officeDocument/2006/relationships/hyperlink" Target="consultantplus://offline/ref=D6E52ADE62EC3F5748EABB48CBB5E91A6B926425DF135F40049B54CA27h1jF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6E52ADE62EC3F5748EABB48CBB5E91A6896642ADD105F40049B54CA271F7937DDE84BB1B402E13AhA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3</cp:revision>
  <dcterms:created xsi:type="dcterms:W3CDTF">2018-04-20T10:36:00Z</dcterms:created>
  <dcterms:modified xsi:type="dcterms:W3CDTF">2018-04-20T10:36:00Z</dcterms:modified>
</cp:coreProperties>
</file>