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2F" w:rsidRPr="0088532F" w:rsidRDefault="0088532F" w:rsidP="000A4F32">
      <w:pPr>
        <w:autoSpaceDE w:val="0"/>
        <w:autoSpaceDN w:val="0"/>
        <w:adjustRightInd w:val="0"/>
        <w:spacing w:after="0" w:line="240" w:lineRule="auto"/>
        <w:jc w:val="both"/>
        <w:rPr>
          <w:rFonts w:ascii="Times New Roman" w:hAnsi="Times New Roman" w:cs="Times New Roman"/>
          <w:b/>
          <w:bCs/>
          <w:sz w:val="32"/>
          <w:szCs w:val="32"/>
          <w:lang w:val="en-US"/>
        </w:rPr>
      </w:pPr>
    </w:p>
    <w:p w:rsidR="000A4F32" w:rsidRPr="0088532F" w:rsidRDefault="0088532F" w:rsidP="00EC10A7">
      <w:pPr>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b/>
          <w:bCs/>
          <w:sz w:val="32"/>
          <w:szCs w:val="32"/>
        </w:rPr>
        <w:t>Обла</w:t>
      </w:r>
      <w:r w:rsidR="00EC10A7">
        <w:rPr>
          <w:rFonts w:ascii="Times New Roman" w:hAnsi="Times New Roman" w:cs="Times New Roman"/>
          <w:b/>
          <w:bCs/>
          <w:sz w:val="32"/>
          <w:szCs w:val="32"/>
        </w:rPr>
        <w:t>г</w:t>
      </w:r>
      <w:r>
        <w:rPr>
          <w:rFonts w:ascii="Times New Roman" w:hAnsi="Times New Roman" w:cs="Times New Roman"/>
          <w:b/>
          <w:bCs/>
          <w:sz w:val="32"/>
          <w:szCs w:val="32"/>
        </w:rPr>
        <w:t xml:space="preserve">ается ли </w:t>
      </w:r>
      <w:r w:rsidR="000A4F32" w:rsidRPr="0088532F">
        <w:rPr>
          <w:rFonts w:ascii="Times New Roman" w:hAnsi="Times New Roman" w:cs="Times New Roman"/>
          <w:b/>
          <w:bCs/>
          <w:sz w:val="32"/>
          <w:szCs w:val="32"/>
        </w:rPr>
        <w:t>НДС сумм</w:t>
      </w:r>
      <w:r w:rsidR="00EC10A7">
        <w:rPr>
          <w:rFonts w:ascii="Times New Roman" w:hAnsi="Times New Roman" w:cs="Times New Roman"/>
          <w:b/>
          <w:bCs/>
          <w:sz w:val="32"/>
          <w:szCs w:val="32"/>
        </w:rPr>
        <w:t>ы</w:t>
      </w:r>
      <w:r w:rsidR="000A4F32" w:rsidRPr="0088532F">
        <w:rPr>
          <w:rFonts w:ascii="Times New Roman" w:hAnsi="Times New Roman" w:cs="Times New Roman"/>
          <w:b/>
          <w:bCs/>
          <w:sz w:val="32"/>
          <w:szCs w:val="32"/>
        </w:rPr>
        <w:t xml:space="preserve"> премий (бонусов), полученных дилерами за выполнение условий договора, предусматривающих реализацию покупателям товаров со скидкой</w:t>
      </w:r>
    </w:p>
    <w:p w:rsidR="00EC10A7" w:rsidRPr="0088532F" w:rsidRDefault="00EC10A7" w:rsidP="009C18DE">
      <w:pPr>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w:t>
      </w:r>
      <w:r w:rsidRPr="0088532F">
        <w:rPr>
          <w:rFonts w:ascii="Times New Roman" w:hAnsi="Times New Roman" w:cs="Times New Roman"/>
          <w:sz w:val="32"/>
          <w:szCs w:val="32"/>
        </w:rPr>
        <w:t>валификация полученных премий в качестве денежных средств, связанных или не связанных с оплатой реализованных товаров (работ, услуг), должна проводиться в каждом конкретном случае с учетом оценки условий заключенных договоров. Если из условий договоров следует, что премии, выплачиваемые дилеру, связаны не с оплатой реализованных товаров, а с поддержанием экономического интереса дилера увеличивать объемы закупок новых партий товара, такие денежные средства в налоговую базу по НДС не включаются.</w:t>
      </w:r>
    </w:p>
    <w:p w:rsidR="009C18DE" w:rsidRDefault="009C18DE" w:rsidP="009C18DE">
      <w:pPr>
        <w:spacing w:after="0" w:line="240" w:lineRule="auto"/>
        <w:ind w:firstLine="709"/>
        <w:jc w:val="both"/>
        <w:rPr>
          <w:rFonts w:ascii="Times New Roman" w:hAnsi="Times New Roman" w:cs="Times New Roman"/>
          <w:sz w:val="32"/>
          <w:szCs w:val="32"/>
        </w:rPr>
      </w:pPr>
    </w:p>
    <w:p w:rsidR="00ED06D3" w:rsidRPr="00ED06D3" w:rsidRDefault="00ED06D3" w:rsidP="00ED06D3">
      <w:pPr>
        <w:autoSpaceDE w:val="0"/>
        <w:autoSpaceDN w:val="0"/>
        <w:adjustRightInd w:val="0"/>
        <w:spacing w:after="0" w:line="240" w:lineRule="auto"/>
        <w:ind w:firstLine="709"/>
        <w:jc w:val="both"/>
        <w:rPr>
          <w:rFonts w:ascii="Times New Roman" w:hAnsi="Times New Roman" w:cs="Times New Roman"/>
          <w:b/>
          <w:sz w:val="32"/>
          <w:szCs w:val="32"/>
        </w:rPr>
      </w:pPr>
      <w:r w:rsidRPr="00ED06D3">
        <w:rPr>
          <w:rFonts w:ascii="Times New Roman" w:hAnsi="Times New Roman" w:cs="Times New Roman"/>
          <w:b/>
          <w:sz w:val="32"/>
          <w:szCs w:val="32"/>
        </w:rPr>
        <w:t>Возможно ли принятие вычету сумм НДС на основании счетов-фактур, выставленных с нарушением срока.</w:t>
      </w:r>
    </w:p>
    <w:p w:rsidR="00ED06D3" w:rsidRDefault="0083703F" w:rsidP="003316F4">
      <w:pPr>
        <w:autoSpaceDE w:val="0"/>
        <w:autoSpaceDN w:val="0"/>
        <w:adjustRightInd w:val="0"/>
        <w:spacing w:after="0" w:line="240" w:lineRule="auto"/>
        <w:ind w:firstLine="709"/>
        <w:jc w:val="both"/>
        <w:rPr>
          <w:rFonts w:ascii="Times New Roman" w:hAnsi="Times New Roman" w:cs="Times New Roman"/>
          <w:sz w:val="32"/>
          <w:szCs w:val="32"/>
        </w:rPr>
      </w:pPr>
      <w:hyperlink r:id="rId6" w:history="1">
        <w:r w:rsidR="00ED06D3" w:rsidRPr="00ED06D3">
          <w:rPr>
            <w:rFonts w:ascii="Times New Roman" w:hAnsi="Times New Roman" w:cs="Times New Roman"/>
            <w:sz w:val="32"/>
            <w:szCs w:val="32"/>
          </w:rPr>
          <w:t>Пунктом 3 статьи 168</w:t>
        </w:r>
      </w:hyperlink>
      <w:r w:rsidR="00ED06D3" w:rsidRPr="0088532F">
        <w:rPr>
          <w:rFonts w:ascii="Times New Roman" w:hAnsi="Times New Roman" w:cs="Times New Roman"/>
          <w:sz w:val="32"/>
          <w:szCs w:val="32"/>
        </w:rPr>
        <w:t xml:space="preserve"> Налогового кодекса Российской Федерации </w:t>
      </w:r>
      <w:r w:rsidR="006049CE">
        <w:rPr>
          <w:rFonts w:ascii="Times New Roman" w:hAnsi="Times New Roman" w:cs="Times New Roman"/>
          <w:sz w:val="32"/>
          <w:szCs w:val="32"/>
        </w:rPr>
        <w:t xml:space="preserve"> (далее Кодекс) </w:t>
      </w:r>
      <w:r w:rsidR="00ED06D3" w:rsidRPr="0088532F">
        <w:rPr>
          <w:rFonts w:ascii="Times New Roman" w:hAnsi="Times New Roman" w:cs="Times New Roman"/>
          <w:sz w:val="32"/>
          <w:szCs w:val="32"/>
        </w:rPr>
        <w:t xml:space="preserve">установлено, что при реализации товаров (работ, услуг) счета-фактуры выставляются не позднее пяти календарных дней, считая со дня отгрузки товаров (выполнения работ, оказания услуг). </w:t>
      </w:r>
    </w:p>
    <w:p w:rsidR="00ED06D3" w:rsidRDefault="00ED06D3" w:rsidP="003316F4">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Согласно </w:t>
      </w:r>
      <w:hyperlink r:id="rId7" w:history="1">
        <w:r w:rsidRPr="00ED06D3">
          <w:rPr>
            <w:rFonts w:ascii="Times New Roman" w:hAnsi="Times New Roman" w:cs="Times New Roman"/>
            <w:sz w:val="32"/>
            <w:szCs w:val="32"/>
          </w:rPr>
          <w:t>абзацу первому пункта 2 статьи 169</w:t>
        </w:r>
      </w:hyperlink>
      <w:r w:rsidRPr="0088532F">
        <w:rPr>
          <w:rFonts w:ascii="Times New Roman" w:hAnsi="Times New Roman" w:cs="Times New Roman"/>
          <w:sz w:val="32"/>
          <w:szCs w:val="32"/>
        </w:rPr>
        <w:t xml:space="preserve"> Кодекса счета-фактуры являются основанием для принятия предъявленных покупателю продавцом сумм налога на добавленную стоимость к вычету</w:t>
      </w:r>
      <w:r>
        <w:rPr>
          <w:rFonts w:ascii="Times New Roman" w:hAnsi="Times New Roman" w:cs="Times New Roman"/>
          <w:sz w:val="32"/>
          <w:szCs w:val="32"/>
        </w:rPr>
        <w:t>.</w:t>
      </w:r>
    </w:p>
    <w:p w:rsidR="00ED06D3" w:rsidRPr="0088532F" w:rsidRDefault="00ED06D3" w:rsidP="003316F4">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88532F">
        <w:rPr>
          <w:rFonts w:ascii="Times New Roman" w:hAnsi="Times New Roman" w:cs="Times New Roman"/>
          <w:sz w:val="32"/>
          <w:szCs w:val="32"/>
        </w:rPr>
        <w:t xml:space="preserve">В то же время в соответствии с </w:t>
      </w:r>
      <w:hyperlink r:id="rId8" w:history="1">
        <w:r w:rsidRPr="00ED06D3">
          <w:rPr>
            <w:rFonts w:ascii="Times New Roman" w:hAnsi="Times New Roman" w:cs="Times New Roman"/>
            <w:sz w:val="32"/>
            <w:szCs w:val="32"/>
          </w:rPr>
          <w:t>абзацем вторым пункта 2 статьи 169</w:t>
        </w:r>
      </w:hyperlink>
      <w:r w:rsidRPr="0088532F">
        <w:rPr>
          <w:rFonts w:ascii="Times New Roman" w:hAnsi="Times New Roman" w:cs="Times New Roman"/>
          <w:sz w:val="32"/>
          <w:szCs w:val="32"/>
        </w:rPr>
        <w:t xml:space="preserve"> Кодекса ошибки в счетах-фактурах, не препятствующие налоговым органам при проведении налоговой проверки идентифицировать продавца, покупателя товаров (работ, услуг), наименование товаров (работ, услуг), их стоимость, а также налоговую ставку и сумму налога на добавленную стоимость, предъявленную покупателю, не являются основанием для отказа в принятии к вычету сумм налога</w:t>
      </w:r>
      <w:proofErr w:type="gramEnd"/>
      <w:r w:rsidRPr="0088532F">
        <w:rPr>
          <w:rFonts w:ascii="Times New Roman" w:hAnsi="Times New Roman" w:cs="Times New Roman"/>
          <w:sz w:val="32"/>
          <w:szCs w:val="32"/>
        </w:rPr>
        <w:t xml:space="preserve"> на добавленную стоимость.</w:t>
      </w:r>
    </w:p>
    <w:p w:rsidR="00ED06D3" w:rsidRDefault="00ED06D3" w:rsidP="006049CE">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Таким образом, счета-фактуры, выставленные с нарушением срока, установленного </w:t>
      </w:r>
      <w:hyperlink r:id="rId9" w:history="1">
        <w:r w:rsidRPr="00ED06D3">
          <w:rPr>
            <w:rFonts w:ascii="Times New Roman" w:hAnsi="Times New Roman" w:cs="Times New Roman"/>
            <w:sz w:val="32"/>
            <w:szCs w:val="32"/>
          </w:rPr>
          <w:t>пунктом 3 статьи 168</w:t>
        </w:r>
      </w:hyperlink>
      <w:r w:rsidRPr="0088532F">
        <w:rPr>
          <w:rFonts w:ascii="Times New Roman" w:hAnsi="Times New Roman" w:cs="Times New Roman"/>
          <w:sz w:val="32"/>
          <w:szCs w:val="32"/>
        </w:rPr>
        <w:t xml:space="preserve"> Кодекса, не являются основанием для отказа в принятии к вычету сумм налога на добавленную стоимость, предъявленных заказчику исполнителем.</w:t>
      </w:r>
    </w:p>
    <w:p w:rsidR="00ED06D3" w:rsidRDefault="00ED06D3" w:rsidP="003161A7">
      <w:pPr>
        <w:autoSpaceDE w:val="0"/>
        <w:autoSpaceDN w:val="0"/>
        <w:adjustRightInd w:val="0"/>
        <w:spacing w:after="0" w:line="240" w:lineRule="auto"/>
        <w:ind w:firstLine="709"/>
        <w:jc w:val="both"/>
        <w:rPr>
          <w:rFonts w:ascii="Times New Roman" w:hAnsi="Times New Roman" w:cs="Times New Roman"/>
          <w:b/>
          <w:sz w:val="32"/>
          <w:szCs w:val="32"/>
        </w:rPr>
      </w:pPr>
    </w:p>
    <w:p w:rsidR="005D4E96" w:rsidRPr="00ED06D3" w:rsidRDefault="00ED06D3" w:rsidP="00ED06D3">
      <w:pPr>
        <w:autoSpaceDE w:val="0"/>
        <w:autoSpaceDN w:val="0"/>
        <w:adjustRightInd w:val="0"/>
        <w:spacing w:after="0" w:line="240" w:lineRule="auto"/>
        <w:ind w:firstLine="709"/>
        <w:jc w:val="both"/>
        <w:rPr>
          <w:rFonts w:ascii="Times New Roman" w:hAnsi="Times New Roman" w:cs="Times New Roman"/>
          <w:b/>
          <w:sz w:val="32"/>
          <w:szCs w:val="32"/>
        </w:rPr>
      </w:pPr>
      <w:r w:rsidRPr="00ED06D3">
        <w:rPr>
          <w:rFonts w:ascii="Times New Roman" w:hAnsi="Times New Roman" w:cs="Times New Roman"/>
          <w:b/>
          <w:sz w:val="32"/>
          <w:szCs w:val="32"/>
        </w:rPr>
        <w:t>Н</w:t>
      </w:r>
      <w:r w:rsidR="005D4E96" w:rsidRPr="00ED06D3">
        <w:rPr>
          <w:rFonts w:ascii="Times New Roman" w:hAnsi="Times New Roman" w:cs="Times New Roman"/>
          <w:b/>
          <w:sz w:val="32"/>
          <w:szCs w:val="32"/>
        </w:rPr>
        <w:t xml:space="preserve">а </w:t>
      </w:r>
      <w:proofErr w:type="gramStart"/>
      <w:r w:rsidR="005D4E96" w:rsidRPr="00ED06D3">
        <w:rPr>
          <w:rFonts w:ascii="Times New Roman" w:hAnsi="Times New Roman" w:cs="Times New Roman"/>
          <w:b/>
          <w:sz w:val="32"/>
          <w:szCs w:val="32"/>
        </w:rPr>
        <w:t>основании</w:t>
      </w:r>
      <w:proofErr w:type="gramEnd"/>
      <w:r w:rsidR="005D4E96" w:rsidRPr="00ED06D3">
        <w:rPr>
          <w:rFonts w:ascii="Times New Roman" w:hAnsi="Times New Roman" w:cs="Times New Roman"/>
          <w:b/>
          <w:sz w:val="32"/>
          <w:szCs w:val="32"/>
        </w:rPr>
        <w:t xml:space="preserve"> </w:t>
      </w:r>
      <w:r w:rsidRPr="00ED06D3">
        <w:rPr>
          <w:rFonts w:ascii="Times New Roman" w:hAnsi="Times New Roman" w:cs="Times New Roman"/>
          <w:b/>
          <w:sz w:val="32"/>
          <w:szCs w:val="32"/>
        </w:rPr>
        <w:t>каких документов</w:t>
      </w:r>
      <w:r w:rsidR="005D4E96" w:rsidRPr="00ED06D3">
        <w:rPr>
          <w:rFonts w:ascii="Times New Roman" w:hAnsi="Times New Roman" w:cs="Times New Roman"/>
          <w:b/>
          <w:sz w:val="32"/>
          <w:szCs w:val="32"/>
        </w:rPr>
        <w:t xml:space="preserve"> возможно принятие к вычету НДС, при приобретении автомобиля ИП, являющимся плательщиком НДС.</w:t>
      </w:r>
    </w:p>
    <w:p w:rsidR="00ED06D3" w:rsidRPr="0088532F" w:rsidRDefault="00ED06D3" w:rsidP="007F0078">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88532F">
        <w:rPr>
          <w:rFonts w:ascii="Times New Roman" w:hAnsi="Times New Roman" w:cs="Times New Roman"/>
          <w:sz w:val="32"/>
          <w:szCs w:val="32"/>
        </w:rPr>
        <w:t xml:space="preserve">На основании </w:t>
      </w:r>
      <w:hyperlink r:id="rId10" w:history="1">
        <w:r w:rsidRPr="00ED06D3">
          <w:rPr>
            <w:rFonts w:ascii="Times New Roman" w:hAnsi="Times New Roman" w:cs="Times New Roman"/>
            <w:sz w:val="32"/>
            <w:szCs w:val="32"/>
          </w:rPr>
          <w:t>пункта 2 статьи 171</w:t>
        </w:r>
      </w:hyperlink>
      <w:r w:rsidRPr="0088532F">
        <w:rPr>
          <w:rFonts w:ascii="Times New Roman" w:hAnsi="Times New Roman" w:cs="Times New Roman"/>
          <w:sz w:val="32"/>
          <w:szCs w:val="32"/>
        </w:rPr>
        <w:t xml:space="preserve"> и </w:t>
      </w:r>
      <w:hyperlink r:id="rId11" w:history="1">
        <w:r w:rsidRPr="00ED06D3">
          <w:rPr>
            <w:rFonts w:ascii="Times New Roman" w:hAnsi="Times New Roman" w:cs="Times New Roman"/>
            <w:sz w:val="32"/>
            <w:szCs w:val="32"/>
          </w:rPr>
          <w:t>пункта 1 статьи 172</w:t>
        </w:r>
      </w:hyperlink>
      <w:r w:rsidRPr="0088532F">
        <w:rPr>
          <w:rFonts w:ascii="Times New Roman" w:hAnsi="Times New Roman" w:cs="Times New Roman"/>
          <w:sz w:val="32"/>
          <w:szCs w:val="32"/>
        </w:rPr>
        <w:t xml:space="preserve"> Налогового кодекса Российской Федерации суммы налога на добавленную стоимость, предъявленные налогоплательщикам при приобретении товаров (работ, услуг), имущественных прав на территории Российской Федерации, в </w:t>
      </w:r>
      <w:r w:rsidRPr="0088532F">
        <w:rPr>
          <w:rFonts w:ascii="Times New Roman" w:hAnsi="Times New Roman" w:cs="Times New Roman"/>
          <w:sz w:val="32"/>
          <w:szCs w:val="32"/>
        </w:rPr>
        <w:lastRenderedPageBreak/>
        <w:t>случае их использования для осуществления операций, облагаемых налогом на добавленную стоимость, подлежат вычетам после принятия этих товаров (работ, услуг), имущественных прав на учет на основании счетов-фактур</w:t>
      </w:r>
      <w:proofErr w:type="gramEnd"/>
      <w:r w:rsidRPr="0088532F">
        <w:rPr>
          <w:rFonts w:ascii="Times New Roman" w:hAnsi="Times New Roman" w:cs="Times New Roman"/>
          <w:sz w:val="32"/>
          <w:szCs w:val="32"/>
        </w:rPr>
        <w:t>, выставленных продавцами товаров (работ, услуг), и при наличии соответствующих первичных документов.</w:t>
      </w:r>
    </w:p>
    <w:p w:rsidR="00ED06D3" w:rsidRPr="0088532F" w:rsidRDefault="00ED06D3" w:rsidP="007F0078">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Таким образом, документом, на основании которого производится вычет налога на добавленную стоимость при приобретении товаров на территории Российской Федерации, является </w:t>
      </w:r>
      <w:hyperlink r:id="rId12" w:history="1">
        <w:r w:rsidRPr="00ED06D3">
          <w:rPr>
            <w:rFonts w:ascii="Times New Roman" w:hAnsi="Times New Roman" w:cs="Times New Roman"/>
            <w:sz w:val="32"/>
            <w:szCs w:val="32"/>
          </w:rPr>
          <w:t>счет-фактура</w:t>
        </w:r>
      </w:hyperlink>
      <w:r w:rsidRPr="0088532F">
        <w:rPr>
          <w:rFonts w:ascii="Times New Roman" w:hAnsi="Times New Roman" w:cs="Times New Roman"/>
          <w:sz w:val="32"/>
          <w:szCs w:val="32"/>
        </w:rPr>
        <w:t xml:space="preserve">. Принятие к вычету налога на добавленную стоимость на основании иных документов </w:t>
      </w:r>
      <w:hyperlink r:id="rId13" w:history="1">
        <w:r w:rsidRPr="00ED06D3">
          <w:rPr>
            <w:rFonts w:ascii="Times New Roman" w:hAnsi="Times New Roman" w:cs="Times New Roman"/>
            <w:sz w:val="32"/>
            <w:szCs w:val="32"/>
          </w:rPr>
          <w:t>Кодексом</w:t>
        </w:r>
      </w:hyperlink>
      <w:r w:rsidRPr="0088532F">
        <w:rPr>
          <w:rFonts w:ascii="Times New Roman" w:hAnsi="Times New Roman" w:cs="Times New Roman"/>
          <w:sz w:val="32"/>
          <w:szCs w:val="32"/>
        </w:rPr>
        <w:t xml:space="preserve"> не предусмотрено.</w:t>
      </w:r>
    </w:p>
    <w:p w:rsidR="007F0078" w:rsidRDefault="007F0078" w:rsidP="00ED06D3">
      <w:pPr>
        <w:autoSpaceDE w:val="0"/>
        <w:autoSpaceDN w:val="0"/>
        <w:adjustRightInd w:val="0"/>
        <w:spacing w:after="0" w:line="240" w:lineRule="auto"/>
        <w:jc w:val="center"/>
        <w:rPr>
          <w:rFonts w:ascii="Times New Roman" w:hAnsi="Times New Roman" w:cs="Times New Roman"/>
          <w:bCs/>
          <w:sz w:val="32"/>
          <w:szCs w:val="32"/>
        </w:rPr>
      </w:pPr>
    </w:p>
    <w:p w:rsidR="007F0078" w:rsidRPr="00DD3369" w:rsidRDefault="007F0078" w:rsidP="007F0078">
      <w:pPr>
        <w:autoSpaceDE w:val="0"/>
        <w:autoSpaceDN w:val="0"/>
        <w:adjustRightInd w:val="0"/>
        <w:spacing w:after="0" w:line="240" w:lineRule="auto"/>
        <w:ind w:firstLine="709"/>
        <w:jc w:val="both"/>
        <w:outlineLvl w:val="0"/>
        <w:rPr>
          <w:rFonts w:ascii="Times New Roman" w:hAnsi="Times New Roman" w:cs="Times New Roman"/>
          <w:b/>
          <w:sz w:val="32"/>
          <w:szCs w:val="32"/>
        </w:rPr>
      </w:pPr>
      <w:bookmarkStart w:id="0" w:name="_GoBack"/>
      <w:bookmarkEnd w:id="0"/>
      <w:r w:rsidRPr="00DD3369">
        <w:rPr>
          <w:rFonts w:ascii="Times New Roman" w:hAnsi="Times New Roman" w:cs="Times New Roman"/>
          <w:b/>
          <w:sz w:val="32"/>
          <w:szCs w:val="32"/>
        </w:rPr>
        <w:t>Необходимо ли уплатить НДС при предоставлении в аренду нежилого помещения физлицом, не зарегистрировавшимся в качестве ИП.</w:t>
      </w:r>
    </w:p>
    <w:p w:rsidR="007F0078" w:rsidRPr="0088532F" w:rsidRDefault="007F0078" w:rsidP="007F0078">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В соответствии с </w:t>
      </w:r>
      <w:hyperlink r:id="rId14" w:history="1">
        <w:r w:rsidRPr="00CE6F14">
          <w:rPr>
            <w:rFonts w:ascii="Times New Roman" w:hAnsi="Times New Roman" w:cs="Times New Roman"/>
            <w:sz w:val="32"/>
            <w:szCs w:val="32"/>
          </w:rPr>
          <w:t>подпунктом 1 пункта 1 статьи 146 главы 21</w:t>
        </w:r>
      </w:hyperlink>
      <w:r w:rsidRPr="0088532F">
        <w:rPr>
          <w:rFonts w:ascii="Times New Roman" w:hAnsi="Times New Roman" w:cs="Times New Roman"/>
          <w:sz w:val="32"/>
          <w:szCs w:val="32"/>
        </w:rPr>
        <w:t xml:space="preserve"> "Налог на добавленную стоимость" Налогового кодекса Российской Федерации объектом налогообложения НДС признаются операции по реализации товаров (работ, услуг) на территории Российской Федерации. При этом передача права собственности на товары, результатов выполненных работ, оказания услуг на безвозмездной основе признается реализацией товаров (работ, услуг).</w:t>
      </w:r>
    </w:p>
    <w:p w:rsidR="007F0078" w:rsidRPr="0088532F" w:rsidRDefault="007F0078" w:rsidP="007F0078">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Согласно </w:t>
      </w:r>
      <w:hyperlink r:id="rId15" w:history="1">
        <w:r w:rsidRPr="00CE6F14">
          <w:rPr>
            <w:rFonts w:ascii="Times New Roman" w:hAnsi="Times New Roman" w:cs="Times New Roman"/>
            <w:sz w:val="32"/>
            <w:szCs w:val="32"/>
          </w:rPr>
          <w:t>пункту 1 статьи 143</w:t>
        </w:r>
      </w:hyperlink>
      <w:r w:rsidRPr="0088532F">
        <w:rPr>
          <w:rFonts w:ascii="Times New Roman" w:hAnsi="Times New Roman" w:cs="Times New Roman"/>
          <w:sz w:val="32"/>
          <w:szCs w:val="32"/>
        </w:rPr>
        <w:t xml:space="preserve"> Кодекса налогоплательщиками НДС признаются организации, индивидуальные предприниматели и лица, признаваемые налогоплательщиками Н</w:t>
      </w:r>
      <w:proofErr w:type="gramStart"/>
      <w:r w:rsidRPr="0088532F">
        <w:rPr>
          <w:rFonts w:ascii="Times New Roman" w:hAnsi="Times New Roman" w:cs="Times New Roman"/>
          <w:sz w:val="32"/>
          <w:szCs w:val="32"/>
        </w:rPr>
        <w:t>ДС в св</w:t>
      </w:r>
      <w:proofErr w:type="gramEnd"/>
      <w:r w:rsidRPr="0088532F">
        <w:rPr>
          <w:rFonts w:ascii="Times New Roman" w:hAnsi="Times New Roman" w:cs="Times New Roman"/>
          <w:sz w:val="32"/>
          <w:szCs w:val="32"/>
        </w:rPr>
        <w:t>язи с перемещением товаров через тамож</w:t>
      </w:r>
      <w:r>
        <w:rPr>
          <w:rFonts w:ascii="Times New Roman" w:hAnsi="Times New Roman" w:cs="Times New Roman"/>
          <w:sz w:val="32"/>
          <w:szCs w:val="32"/>
        </w:rPr>
        <w:t>енную границу Таможенного союза</w:t>
      </w:r>
      <w:r w:rsidRPr="0088532F">
        <w:rPr>
          <w:rFonts w:ascii="Times New Roman" w:hAnsi="Times New Roman" w:cs="Times New Roman"/>
          <w:sz w:val="32"/>
          <w:szCs w:val="32"/>
        </w:rPr>
        <w:t>. При этом физические лица не признаются налогоплательщиками НДС.</w:t>
      </w:r>
    </w:p>
    <w:p w:rsidR="007F0078" w:rsidRPr="0088532F" w:rsidRDefault="0083703F" w:rsidP="007F0078">
      <w:pPr>
        <w:autoSpaceDE w:val="0"/>
        <w:autoSpaceDN w:val="0"/>
        <w:adjustRightInd w:val="0"/>
        <w:spacing w:after="0" w:line="240" w:lineRule="auto"/>
        <w:ind w:firstLine="709"/>
        <w:jc w:val="both"/>
        <w:rPr>
          <w:rFonts w:ascii="Times New Roman" w:hAnsi="Times New Roman" w:cs="Times New Roman"/>
          <w:sz w:val="32"/>
          <w:szCs w:val="32"/>
        </w:rPr>
      </w:pPr>
      <w:hyperlink r:id="rId16" w:history="1">
        <w:r w:rsidR="007F0078" w:rsidRPr="00CE6F14">
          <w:rPr>
            <w:rFonts w:ascii="Times New Roman" w:hAnsi="Times New Roman" w:cs="Times New Roman"/>
            <w:sz w:val="32"/>
            <w:szCs w:val="32"/>
          </w:rPr>
          <w:t>Пунктом 2 статьи 11</w:t>
        </w:r>
      </w:hyperlink>
      <w:r w:rsidR="007F0078" w:rsidRPr="0088532F">
        <w:rPr>
          <w:rFonts w:ascii="Times New Roman" w:hAnsi="Times New Roman" w:cs="Times New Roman"/>
          <w:sz w:val="32"/>
          <w:szCs w:val="32"/>
        </w:rPr>
        <w:t xml:space="preserve"> Кодекса установлено, что индивидуальные предприниматели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При этом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Кодексом, не вправе ссылаться на то, что они не являются индивидуальными предпринимателями.</w:t>
      </w:r>
    </w:p>
    <w:p w:rsidR="007F0078" w:rsidRPr="0088532F" w:rsidRDefault="007F0078" w:rsidP="007F0078">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88532F">
        <w:rPr>
          <w:rFonts w:ascii="Times New Roman" w:hAnsi="Times New Roman" w:cs="Times New Roman"/>
          <w:sz w:val="32"/>
          <w:szCs w:val="32"/>
        </w:rPr>
        <w:t xml:space="preserve">Таким образом, услуги по предоставлению в аренду нежилого недвижимого имущества, оказываемые физическим лицом, осуществляющим предпринимательскую деятельность без образования юридического лица, но не зарегистрировавшимся в качестве индивидуального предпринимателя в нарушение требований </w:t>
      </w:r>
      <w:r w:rsidRPr="0088532F">
        <w:rPr>
          <w:rFonts w:ascii="Times New Roman" w:hAnsi="Times New Roman" w:cs="Times New Roman"/>
          <w:sz w:val="32"/>
          <w:szCs w:val="32"/>
        </w:rPr>
        <w:lastRenderedPageBreak/>
        <w:t xml:space="preserve">гражданского законодательства Российской Федерации, подлежат налогообложению НДС на основании вышеуказанного </w:t>
      </w:r>
      <w:hyperlink r:id="rId17" w:history="1">
        <w:r w:rsidRPr="00CE6F14">
          <w:rPr>
            <w:rFonts w:ascii="Times New Roman" w:hAnsi="Times New Roman" w:cs="Times New Roman"/>
            <w:sz w:val="32"/>
            <w:szCs w:val="32"/>
          </w:rPr>
          <w:t>подпункта пункта 1 статьи 146</w:t>
        </w:r>
      </w:hyperlink>
      <w:r w:rsidRPr="0088532F">
        <w:rPr>
          <w:rFonts w:ascii="Times New Roman" w:hAnsi="Times New Roman" w:cs="Times New Roman"/>
          <w:sz w:val="32"/>
          <w:szCs w:val="32"/>
        </w:rPr>
        <w:t xml:space="preserve"> Кодекса.</w:t>
      </w:r>
      <w:proofErr w:type="gramEnd"/>
    </w:p>
    <w:p w:rsidR="007F0078" w:rsidRPr="0088532F" w:rsidRDefault="007F0078" w:rsidP="007F0078">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Уплата НДС по операциям по реализации товаров (работ, услуг) на территории Российской Федерации производится в федеральный бюджет в соответствии со </w:t>
      </w:r>
      <w:hyperlink r:id="rId18" w:history="1">
        <w:r w:rsidRPr="00CE6F14">
          <w:rPr>
            <w:rFonts w:ascii="Times New Roman" w:hAnsi="Times New Roman" w:cs="Times New Roman"/>
            <w:sz w:val="32"/>
            <w:szCs w:val="32"/>
          </w:rPr>
          <w:t>статьей 174</w:t>
        </w:r>
      </w:hyperlink>
      <w:r w:rsidRPr="0088532F">
        <w:rPr>
          <w:rFonts w:ascii="Times New Roman" w:hAnsi="Times New Roman" w:cs="Times New Roman"/>
          <w:sz w:val="32"/>
          <w:szCs w:val="32"/>
        </w:rPr>
        <w:t xml:space="preserve"> Кодекса за истекший налоговый период равными долями не позднее 25-го числа каждого из трех месяцев, следующих за истекшим налоговым периодом.</w:t>
      </w:r>
    </w:p>
    <w:p w:rsidR="007F0078" w:rsidRDefault="007F0078" w:rsidP="00ED06D3">
      <w:pPr>
        <w:autoSpaceDE w:val="0"/>
        <w:autoSpaceDN w:val="0"/>
        <w:adjustRightInd w:val="0"/>
        <w:spacing w:after="0" w:line="240" w:lineRule="auto"/>
        <w:jc w:val="center"/>
        <w:rPr>
          <w:rFonts w:ascii="Times New Roman" w:hAnsi="Times New Roman" w:cs="Times New Roman"/>
          <w:bCs/>
          <w:sz w:val="32"/>
          <w:szCs w:val="32"/>
        </w:rPr>
      </w:pPr>
    </w:p>
    <w:p w:rsidR="008E6B54" w:rsidRPr="008E6B54" w:rsidRDefault="008E6B54" w:rsidP="008E6B54">
      <w:pPr>
        <w:autoSpaceDE w:val="0"/>
        <w:autoSpaceDN w:val="0"/>
        <w:adjustRightInd w:val="0"/>
        <w:spacing w:after="0" w:line="240" w:lineRule="auto"/>
        <w:ind w:firstLine="709"/>
        <w:jc w:val="both"/>
        <w:rPr>
          <w:rFonts w:ascii="Times New Roman" w:eastAsia="Times New Roman" w:hAnsi="Times New Roman" w:cs="Times New Roman"/>
          <w:b/>
          <w:sz w:val="32"/>
          <w:szCs w:val="32"/>
          <w:lang w:eastAsia="ru-RU"/>
        </w:rPr>
      </w:pPr>
      <w:r w:rsidRPr="008E6B54">
        <w:rPr>
          <w:rFonts w:ascii="Times New Roman" w:eastAsia="Times New Roman" w:hAnsi="Times New Roman" w:cs="Times New Roman"/>
          <w:b/>
          <w:sz w:val="32"/>
          <w:szCs w:val="32"/>
          <w:lang w:eastAsia="ru-RU"/>
        </w:rPr>
        <w:t>В случае если налогоплательщику пришло требование о представлении пояснений с указанием счетов-фактур, которые, по его мнению, отражены корректно в декларации, что делать в таком случае?</w:t>
      </w:r>
    </w:p>
    <w:p w:rsidR="008E6B54" w:rsidRPr="008E6B54" w:rsidRDefault="008E6B54" w:rsidP="008E6B54">
      <w:pPr>
        <w:autoSpaceDE w:val="0"/>
        <w:autoSpaceDN w:val="0"/>
        <w:adjustRightInd w:val="0"/>
        <w:spacing w:after="0" w:line="240" w:lineRule="auto"/>
        <w:ind w:firstLine="709"/>
        <w:jc w:val="both"/>
        <w:rPr>
          <w:rFonts w:ascii="Times New Roman" w:eastAsia="Times New Roman" w:hAnsi="Times New Roman" w:cs="Times New Roman"/>
          <w:b/>
          <w:sz w:val="32"/>
          <w:szCs w:val="32"/>
          <w:lang w:eastAsia="ru-RU"/>
        </w:rPr>
      </w:pPr>
      <w:r w:rsidRPr="008E6B54">
        <w:rPr>
          <w:rFonts w:ascii="Times New Roman" w:eastAsia="Times New Roman" w:hAnsi="Times New Roman" w:cs="Times New Roman"/>
          <w:b/>
          <w:sz w:val="32"/>
          <w:szCs w:val="32"/>
          <w:lang w:eastAsia="ru-RU"/>
        </w:rPr>
        <w:t>Если при поступлении требования о представлении пояснений налогоплательщик произвел сверку счетов-фактур с контрагентом и нарушений не установлено, надо ли отвечать на требование?</w:t>
      </w:r>
    </w:p>
    <w:p w:rsidR="008E6B54" w:rsidRDefault="008E6B54" w:rsidP="008E6B54">
      <w:pPr>
        <w:autoSpaceDE w:val="0"/>
        <w:autoSpaceDN w:val="0"/>
        <w:adjustRightInd w:val="0"/>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Необходимо п</w:t>
      </w:r>
      <w:r w:rsidRPr="0088532F">
        <w:rPr>
          <w:rFonts w:ascii="Times New Roman" w:eastAsia="Times New Roman" w:hAnsi="Times New Roman" w:cs="Times New Roman"/>
          <w:sz w:val="32"/>
          <w:szCs w:val="32"/>
          <w:lang w:eastAsia="ru-RU"/>
        </w:rPr>
        <w:t>о возможности провести сверку с контрагентом на предмет корректности отражения идентификационных показателей счетов-фактур в налоговой декларации покупателя и продавца и сообщить налоговому органу о корректном отражении сведений в налоговой декларации.</w:t>
      </w:r>
    </w:p>
    <w:p w:rsidR="008E6B54" w:rsidRDefault="008E6B54" w:rsidP="008E6B54">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w:t>
      </w:r>
      <w:r w:rsidRPr="0088532F">
        <w:rPr>
          <w:rFonts w:ascii="Times New Roman" w:eastAsia="Times New Roman" w:hAnsi="Times New Roman" w:cs="Times New Roman"/>
          <w:sz w:val="32"/>
          <w:szCs w:val="32"/>
          <w:lang w:eastAsia="ru-RU"/>
        </w:rPr>
        <w:t xml:space="preserve">адрес налогового органа </w:t>
      </w:r>
      <w:r>
        <w:rPr>
          <w:rFonts w:ascii="Times New Roman" w:eastAsia="Times New Roman" w:hAnsi="Times New Roman" w:cs="Times New Roman"/>
          <w:sz w:val="32"/>
          <w:szCs w:val="32"/>
          <w:lang w:eastAsia="ru-RU"/>
        </w:rPr>
        <w:t>н</w:t>
      </w:r>
      <w:r w:rsidRPr="0088532F">
        <w:rPr>
          <w:rFonts w:ascii="Times New Roman" w:eastAsia="Times New Roman" w:hAnsi="Times New Roman" w:cs="Times New Roman"/>
          <w:sz w:val="32"/>
          <w:szCs w:val="32"/>
          <w:lang w:eastAsia="ru-RU"/>
        </w:rPr>
        <w:t>еобходимо представить в пояснения, подтверждающие отражение счета-фактуры в разделе налоговой декларации.</w:t>
      </w:r>
    </w:p>
    <w:p w:rsidR="00DE7559" w:rsidRDefault="00DE7559" w:rsidP="008E6B54">
      <w:pPr>
        <w:spacing w:after="0" w:line="240" w:lineRule="auto"/>
        <w:ind w:firstLine="709"/>
        <w:jc w:val="both"/>
        <w:rPr>
          <w:rFonts w:ascii="Times New Roman" w:eastAsia="Times New Roman" w:hAnsi="Times New Roman" w:cs="Times New Roman"/>
          <w:sz w:val="32"/>
          <w:szCs w:val="32"/>
          <w:lang w:eastAsia="ru-RU"/>
        </w:rPr>
      </w:pPr>
    </w:p>
    <w:p w:rsidR="006D3A4C" w:rsidRPr="006D3A4C" w:rsidRDefault="006D3A4C" w:rsidP="006D3A4C">
      <w:pPr>
        <w:autoSpaceDE w:val="0"/>
        <w:autoSpaceDN w:val="0"/>
        <w:adjustRightInd w:val="0"/>
        <w:spacing w:after="0" w:line="240" w:lineRule="auto"/>
        <w:ind w:firstLine="709"/>
        <w:jc w:val="both"/>
        <w:rPr>
          <w:rFonts w:ascii="Times New Roman" w:hAnsi="Times New Roman" w:cs="Times New Roman"/>
          <w:b/>
          <w:bCs/>
          <w:sz w:val="32"/>
          <w:szCs w:val="32"/>
        </w:rPr>
      </w:pPr>
      <w:r>
        <w:rPr>
          <w:rFonts w:ascii="Times New Roman" w:hAnsi="Times New Roman" w:cs="Times New Roman"/>
          <w:b/>
          <w:bCs/>
          <w:sz w:val="32"/>
          <w:szCs w:val="32"/>
        </w:rPr>
        <w:t xml:space="preserve">Облагаются ли </w:t>
      </w:r>
      <w:r w:rsidRPr="006D3A4C">
        <w:rPr>
          <w:rFonts w:ascii="Times New Roman" w:hAnsi="Times New Roman" w:cs="Times New Roman"/>
          <w:b/>
          <w:bCs/>
          <w:sz w:val="32"/>
          <w:szCs w:val="32"/>
        </w:rPr>
        <w:t>НДС услуг по предоставлению образовательной организацией по договору найма жилого помещения в общежитии.</w:t>
      </w:r>
    </w:p>
    <w:p w:rsidR="006D3A4C" w:rsidRPr="0088532F" w:rsidRDefault="006D3A4C" w:rsidP="006D3A4C">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В соответствии с </w:t>
      </w:r>
      <w:hyperlink r:id="rId19" w:history="1">
        <w:r w:rsidRPr="006D3A4C">
          <w:rPr>
            <w:rFonts w:ascii="Times New Roman" w:hAnsi="Times New Roman" w:cs="Times New Roman"/>
            <w:sz w:val="32"/>
            <w:szCs w:val="32"/>
          </w:rPr>
          <w:t>подпунктом 10 пункта 2 статьи 149</w:t>
        </w:r>
      </w:hyperlink>
      <w:r w:rsidRPr="0088532F">
        <w:rPr>
          <w:rFonts w:ascii="Times New Roman" w:hAnsi="Times New Roman" w:cs="Times New Roman"/>
          <w:sz w:val="32"/>
          <w:szCs w:val="32"/>
        </w:rPr>
        <w:t xml:space="preserve"> Налогового кодекса Российской Федерации не подлежит налогообложению (освобождается от налогообложения) НДС реализация на территории Российской Федерации услуг по предоставлению в пользование жилых помещений в жилищном фонде всех форм собственности.</w:t>
      </w:r>
    </w:p>
    <w:p w:rsidR="006D3A4C" w:rsidRPr="0088532F" w:rsidRDefault="006D3A4C" w:rsidP="006D3A4C">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Согласно </w:t>
      </w:r>
      <w:hyperlink r:id="rId20" w:history="1">
        <w:r w:rsidRPr="006D3A4C">
          <w:rPr>
            <w:rFonts w:ascii="Times New Roman" w:hAnsi="Times New Roman" w:cs="Times New Roman"/>
            <w:sz w:val="32"/>
            <w:szCs w:val="32"/>
          </w:rPr>
          <w:t>пункту 2 статьи 15</w:t>
        </w:r>
      </w:hyperlink>
      <w:r w:rsidRPr="0088532F">
        <w:rPr>
          <w:rFonts w:ascii="Times New Roman" w:hAnsi="Times New Roman" w:cs="Times New Roman"/>
          <w:sz w:val="32"/>
          <w:szCs w:val="32"/>
        </w:rPr>
        <w:t xml:space="preserve"> Жилищного кодекса Российской Федерации (далее - Жилищный кодекс)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На основании </w:t>
      </w:r>
      <w:hyperlink r:id="rId21" w:history="1">
        <w:r w:rsidRPr="006D3A4C">
          <w:rPr>
            <w:rFonts w:ascii="Times New Roman" w:hAnsi="Times New Roman" w:cs="Times New Roman"/>
            <w:sz w:val="32"/>
            <w:szCs w:val="32"/>
          </w:rPr>
          <w:t>пункта 1 статьи 16</w:t>
        </w:r>
      </w:hyperlink>
      <w:r w:rsidRPr="0088532F">
        <w:rPr>
          <w:rFonts w:ascii="Times New Roman" w:hAnsi="Times New Roman" w:cs="Times New Roman"/>
          <w:sz w:val="32"/>
          <w:szCs w:val="32"/>
        </w:rPr>
        <w:t xml:space="preserve"> Жилищного кодекса к жилым помещениям относятся жилой дом, часть жилого дома, квартира, часть квартиры и комната, определения понятий которых содержатся в </w:t>
      </w:r>
      <w:hyperlink r:id="rId22" w:history="1">
        <w:r w:rsidRPr="006D3A4C">
          <w:rPr>
            <w:rFonts w:ascii="Times New Roman" w:hAnsi="Times New Roman" w:cs="Times New Roman"/>
            <w:sz w:val="32"/>
            <w:szCs w:val="32"/>
          </w:rPr>
          <w:t>пунктах 2</w:t>
        </w:r>
      </w:hyperlink>
      <w:r w:rsidRPr="0088532F">
        <w:rPr>
          <w:rFonts w:ascii="Times New Roman" w:hAnsi="Times New Roman" w:cs="Times New Roman"/>
          <w:sz w:val="32"/>
          <w:szCs w:val="32"/>
        </w:rPr>
        <w:t xml:space="preserve"> - </w:t>
      </w:r>
      <w:hyperlink r:id="rId23" w:history="1">
        <w:r w:rsidRPr="006D3A4C">
          <w:rPr>
            <w:rFonts w:ascii="Times New Roman" w:hAnsi="Times New Roman" w:cs="Times New Roman"/>
            <w:sz w:val="32"/>
            <w:szCs w:val="32"/>
          </w:rPr>
          <w:t>4 данной статьи</w:t>
        </w:r>
      </w:hyperlink>
      <w:r w:rsidRPr="0088532F">
        <w:rPr>
          <w:rFonts w:ascii="Times New Roman" w:hAnsi="Times New Roman" w:cs="Times New Roman"/>
          <w:sz w:val="32"/>
          <w:szCs w:val="32"/>
        </w:rPr>
        <w:t xml:space="preserve"> Жилищного кодекса.</w:t>
      </w:r>
    </w:p>
    <w:p w:rsidR="006D3A4C" w:rsidRPr="0088532F" w:rsidRDefault="006D3A4C" w:rsidP="006D3A4C">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lastRenderedPageBreak/>
        <w:t xml:space="preserve">В силу </w:t>
      </w:r>
      <w:hyperlink r:id="rId24" w:history="1">
        <w:r w:rsidRPr="006D3A4C">
          <w:rPr>
            <w:rFonts w:ascii="Times New Roman" w:hAnsi="Times New Roman" w:cs="Times New Roman"/>
            <w:sz w:val="32"/>
            <w:szCs w:val="32"/>
          </w:rPr>
          <w:t>подпункта 2 пункта 1 статьи 92</w:t>
        </w:r>
      </w:hyperlink>
      <w:r w:rsidRPr="0088532F">
        <w:rPr>
          <w:rFonts w:ascii="Times New Roman" w:hAnsi="Times New Roman" w:cs="Times New Roman"/>
          <w:sz w:val="32"/>
          <w:szCs w:val="32"/>
        </w:rPr>
        <w:t xml:space="preserve"> и </w:t>
      </w:r>
      <w:hyperlink r:id="rId25" w:history="1">
        <w:r w:rsidRPr="006D3A4C">
          <w:rPr>
            <w:rFonts w:ascii="Times New Roman" w:hAnsi="Times New Roman" w:cs="Times New Roman"/>
            <w:sz w:val="32"/>
            <w:szCs w:val="32"/>
          </w:rPr>
          <w:t>пункта 1 статьи 94</w:t>
        </w:r>
      </w:hyperlink>
      <w:r w:rsidRPr="0088532F">
        <w:rPr>
          <w:rFonts w:ascii="Times New Roman" w:hAnsi="Times New Roman" w:cs="Times New Roman"/>
          <w:sz w:val="32"/>
          <w:szCs w:val="32"/>
        </w:rPr>
        <w:t xml:space="preserve"> Жилищного кодекса жилые помещения в общежитиях, предназначенные для временного проживания граждан в период их работы, службы или обучения, относятся к жилым помещениям специализированного жилищного фонда.</w:t>
      </w:r>
    </w:p>
    <w:p w:rsidR="006D3A4C" w:rsidRPr="0088532F" w:rsidRDefault="006D3A4C" w:rsidP="006D3A4C">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Учитывая </w:t>
      </w:r>
      <w:proofErr w:type="gramStart"/>
      <w:r w:rsidRPr="0088532F">
        <w:rPr>
          <w:rFonts w:ascii="Times New Roman" w:hAnsi="Times New Roman" w:cs="Times New Roman"/>
          <w:sz w:val="32"/>
          <w:szCs w:val="32"/>
        </w:rPr>
        <w:t>изложенное</w:t>
      </w:r>
      <w:proofErr w:type="gramEnd"/>
      <w:r w:rsidRPr="0088532F">
        <w:rPr>
          <w:rFonts w:ascii="Times New Roman" w:hAnsi="Times New Roman" w:cs="Times New Roman"/>
          <w:sz w:val="32"/>
          <w:szCs w:val="32"/>
        </w:rPr>
        <w:t xml:space="preserve">, операции по реализации услуг по предоставлению образовательной организацией жилого помещения (части жилого помещения) по договору найма жилого помещения в общежитии освобождаются от налогообложения НДС на основании </w:t>
      </w:r>
      <w:hyperlink r:id="rId26" w:history="1">
        <w:r w:rsidRPr="006D3A4C">
          <w:rPr>
            <w:rFonts w:ascii="Times New Roman" w:hAnsi="Times New Roman" w:cs="Times New Roman"/>
            <w:sz w:val="32"/>
            <w:szCs w:val="32"/>
          </w:rPr>
          <w:t>подпункта 10 пункта 2 статьи 149</w:t>
        </w:r>
      </w:hyperlink>
      <w:r w:rsidRPr="0088532F">
        <w:rPr>
          <w:rFonts w:ascii="Times New Roman" w:hAnsi="Times New Roman" w:cs="Times New Roman"/>
          <w:sz w:val="32"/>
          <w:szCs w:val="32"/>
        </w:rPr>
        <w:t xml:space="preserve"> Налогового кодекса.</w:t>
      </w:r>
    </w:p>
    <w:p w:rsidR="00EC7066" w:rsidRDefault="00EC7066" w:rsidP="006D3A4C">
      <w:pPr>
        <w:autoSpaceDE w:val="0"/>
        <w:autoSpaceDN w:val="0"/>
        <w:adjustRightInd w:val="0"/>
        <w:spacing w:after="0" w:line="240" w:lineRule="auto"/>
        <w:ind w:firstLine="709"/>
        <w:jc w:val="both"/>
        <w:outlineLvl w:val="0"/>
        <w:rPr>
          <w:rFonts w:ascii="Times New Roman" w:hAnsi="Times New Roman" w:cs="Times New Roman"/>
          <w:sz w:val="32"/>
          <w:szCs w:val="32"/>
        </w:rPr>
      </w:pPr>
    </w:p>
    <w:p w:rsidR="007F0078" w:rsidRPr="003161A7" w:rsidRDefault="007F0078" w:rsidP="007F0078">
      <w:pPr>
        <w:autoSpaceDE w:val="0"/>
        <w:autoSpaceDN w:val="0"/>
        <w:adjustRightInd w:val="0"/>
        <w:spacing w:after="0" w:line="240" w:lineRule="auto"/>
        <w:ind w:firstLine="709"/>
        <w:jc w:val="both"/>
        <w:rPr>
          <w:rFonts w:ascii="Times New Roman" w:hAnsi="Times New Roman" w:cs="Times New Roman"/>
          <w:b/>
          <w:sz w:val="32"/>
          <w:szCs w:val="32"/>
        </w:rPr>
      </w:pPr>
      <w:r w:rsidRPr="003161A7">
        <w:rPr>
          <w:rFonts w:ascii="Times New Roman" w:hAnsi="Times New Roman" w:cs="Times New Roman"/>
          <w:b/>
          <w:sz w:val="32"/>
          <w:szCs w:val="32"/>
        </w:rPr>
        <w:t xml:space="preserve">Предусмотрено ли освобождение от налогообложения НДС согласно </w:t>
      </w:r>
      <w:hyperlink r:id="rId27" w:history="1">
        <w:r w:rsidRPr="003161A7">
          <w:rPr>
            <w:rFonts w:ascii="Times New Roman" w:hAnsi="Times New Roman" w:cs="Times New Roman"/>
            <w:b/>
            <w:sz w:val="32"/>
            <w:szCs w:val="32"/>
          </w:rPr>
          <w:t>подпункту 38 пункта 3 статьи 149</w:t>
        </w:r>
      </w:hyperlink>
      <w:r w:rsidRPr="003161A7">
        <w:rPr>
          <w:rFonts w:ascii="Times New Roman" w:hAnsi="Times New Roman" w:cs="Times New Roman"/>
          <w:b/>
          <w:sz w:val="32"/>
          <w:szCs w:val="32"/>
        </w:rPr>
        <w:t xml:space="preserve"> НК РФ с 1 января 2022 года услуг общественного питания при доставке блюд.</w:t>
      </w:r>
    </w:p>
    <w:p w:rsidR="007F0078" w:rsidRPr="0088532F" w:rsidRDefault="007F0078" w:rsidP="007F0078">
      <w:pPr>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Согласно </w:t>
      </w:r>
      <w:hyperlink r:id="rId28" w:history="1">
        <w:r w:rsidRPr="003161A7">
          <w:rPr>
            <w:rFonts w:ascii="Times New Roman" w:hAnsi="Times New Roman" w:cs="Times New Roman"/>
            <w:sz w:val="32"/>
            <w:szCs w:val="32"/>
          </w:rPr>
          <w:t>подпункту 38 пункта 3 статьи 149</w:t>
        </w:r>
      </w:hyperlink>
      <w:r>
        <w:rPr>
          <w:rFonts w:ascii="Times New Roman" w:hAnsi="Times New Roman" w:cs="Times New Roman"/>
          <w:sz w:val="32"/>
          <w:szCs w:val="32"/>
        </w:rPr>
        <w:t xml:space="preserve"> Кодекса с </w:t>
      </w:r>
      <w:r w:rsidRPr="0088532F">
        <w:rPr>
          <w:rFonts w:ascii="Times New Roman" w:hAnsi="Times New Roman" w:cs="Times New Roman"/>
          <w:sz w:val="32"/>
          <w:szCs w:val="32"/>
        </w:rPr>
        <w:t>1 января 2022 года освобождение от налогообложения применяется в отношении, в частности, услуг общественного питания вне таких объектов (выездное обслуживание), при выполнении ряда условий.</w:t>
      </w:r>
    </w:p>
    <w:p w:rsidR="007F0078" w:rsidRPr="0088532F" w:rsidRDefault="007F0078" w:rsidP="007F0078">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НК РФ не ограничивает способы доставки продукции общепита (своими силами или с привлечением сторонней организации) и не ограничивает способы оформления заказа (через </w:t>
      </w:r>
      <w:proofErr w:type="spellStart"/>
      <w:r w:rsidRPr="0088532F">
        <w:rPr>
          <w:rFonts w:ascii="Times New Roman" w:hAnsi="Times New Roman" w:cs="Times New Roman"/>
          <w:sz w:val="32"/>
          <w:szCs w:val="32"/>
        </w:rPr>
        <w:t>агрегаторов</w:t>
      </w:r>
      <w:proofErr w:type="spellEnd"/>
      <w:r w:rsidRPr="0088532F">
        <w:rPr>
          <w:rFonts w:ascii="Times New Roman" w:hAnsi="Times New Roman" w:cs="Times New Roman"/>
          <w:sz w:val="32"/>
          <w:szCs w:val="32"/>
        </w:rPr>
        <w:t>, на сайте организации или через сети ТКС).</w:t>
      </w:r>
    </w:p>
    <w:p w:rsidR="007F0078" w:rsidRPr="0088532F" w:rsidRDefault="007F0078" w:rsidP="007F0078">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Таким образом, организация общественного питания вправе применить освобождение от НДС при оказании услуг общественного питания вне места изготовления, то есть при доставке блюд по заказам потребителей, осуществляя такую </w:t>
      </w:r>
      <w:proofErr w:type="gramStart"/>
      <w:r w:rsidRPr="0088532F">
        <w:rPr>
          <w:rFonts w:ascii="Times New Roman" w:hAnsi="Times New Roman" w:cs="Times New Roman"/>
          <w:sz w:val="32"/>
          <w:szCs w:val="32"/>
        </w:rPr>
        <w:t>доставку</w:t>
      </w:r>
      <w:proofErr w:type="gramEnd"/>
      <w:r w:rsidRPr="0088532F">
        <w:rPr>
          <w:rFonts w:ascii="Times New Roman" w:hAnsi="Times New Roman" w:cs="Times New Roman"/>
          <w:sz w:val="32"/>
          <w:szCs w:val="32"/>
        </w:rPr>
        <w:t xml:space="preserve"> как своими силами, так и с привлечением третьих лиц, при условии соблюдения требований, установленных </w:t>
      </w:r>
      <w:hyperlink r:id="rId29" w:history="1">
        <w:r w:rsidRPr="003161A7">
          <w:rPr>
            <w:rFonts w:ascii="Times New Roman" w:hAnsi="Times New Roman" w:cs="Times New Roman"/>
            <w:sz w:val="32"/>
            <w:szCs w:val="32"/>
          </w:rPr>
          <w:t>подпунктом 38 пункта 3 статьи 149</w:t>
        </w:r>
      </w:hyperlink>
      <w:r w:rsidRPr="0088532F">
        <w:rPr>
          <w:rFonts w:ascii="Times New Roman" w:hAnsi="Times New Roman" w:cs="Times New Roman"/>
          <w:sz w:val="32"/>
          <w:szCs w:val="32"/>
        </w:rPr>
        <w:t xml:space="preserve"> Кодекса.</w:t>
      </w:r>
    </w:p>
    <w:p w:rsidR="007F0078" w:rsidRDefault="007F0078" w:rsidP="006D3A4C">
      <w:pPr>
        <w:autoSpaceDE w:val="0"/>
        <w:autoSpaceDN w:val="0"/>
        <w:adjustRightInd w:val="0"/>
        <w:spacing w:after="0" w:line="240" w:lineRule="auto"/>
        <w:ind w:firstLine="709"/>
        <w:jc w:val="both"/>
        <w:outlineLvl w:val="0"/>
        <w:rPr>
          <w:rFonts w:ascii="Times New Roman" w:hAnsi="Times New Roman" w:cs="Times New Roman"/>
          <w:sz w:val="32"/>
          <w:szCs w:val="32"/>
        </w:rPr>
      </w:pPr>
    </w:p>
    <w:p w:rsidR="005D4E96" w:rsidRPr="00EC7066" w:rsidRDefault="00EC7066" w:rsidP="00EC7066">
      <w:pPr>
        <w:autoSpaceDE w:val="0"/>
        <w:autoSpaceDN w:val="0"/>
        <w:adjustRightInd w:val="0"/>
        <w:spacing w:after="0" w:line="240" w:lineRule="auto"/>
        <w:ind w:firstLine="709"/>
        <w:jc w:val="both"/>
        <w:outlineLvl w:val="0"/>
        <w:rPr>
          <w:rFonts w:ascii="Times New Roman" w:hAnsi="Times New Roman" w:cs="Times New Roman"/>
          <w:b/>
          <w:sz w:val="32"/>
          <w:szCs w:val="32"/>
        </w:rPr>
      </w:pPr>
      <w:r w:rsidRPr="00EC7066">
        <w:rPr>
          <w:rFonts w:ascii="Times New Roman" w:hAnsi="Times New Roman" w:cs="Times New Roman"/>
          <w:b/>
          <w:sz w:val="32"/>
          <w:szCs w:val="32"/>
        </w:rPr>
        <w:t xml:space="preserve">Возможно ли </w:t>
      </w:r>
      <w:r w:rsidR="005D4E96" w:rsidRPr="00EC7066">
        <w:rPr>
          <w:rFonts w:ascii="Times New Roman" w:hAnsi="Times New Roman" w:cs="Times New Roman"/>
          <w:b/>
          <w:sz w:val="32"/>
          <w:szCs w:val="32"/>
        </w:rPr>
        <w:t xml:space="preserve">применения освобождения от НДС в отношении услуг общественного питания, оказываемых организацией, перешедшей с 01.01.2022 с </w:t>
      </w:r>
      <w:r w:rsidRPr="00EC7066">
        <w:rPr>
          <w:rFonts w:ascii="Times New Roman" w:hAnsi="Times New Roman" w:cs="Times New Roman"/>
          <w:b/>
          <w:sz w:val="32"/>
          <w:szCs w:val="32"/>
        </w:rPr>
        <w:t>упрощенной системы налогообложения</w:t>
      </w:r>
      <w:r w:rsidR="005D4E96" w:rsidRPr="00EC7066">
        <w:rPr>
          <w:rFonts w:ascii="Times New Roman" w:hAnsi="Times New Roman" w:cs="Times New Roman"/>
          <w:b/>
          <w:sz w:val="32"/>
          <w:szCs w:val="32"/>
        </w:rPr>
        <w:t xml:space="preserve"> на ОСН.</w:t>
      </w:r>
    </w:p>
    <w:p w:rsidR="00CE6F14" w:rsidRPr="0088532F" w:rsidRDefault="00CE6F14" w:rsidP="00CE6F14">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88532F">
        <w:rPr>
          <w:rFonts w:ascii="Times New Roman" w:hAnsi="Times New Roman" w:cs="Times New Roman"/>
          <w:sz w:val="32"/>
          <w:szCs w:val="32"/>
        </w:rPr>
        <w:t xml:space="preserve">Согласно </w:t>
      </w:r>
      <w:hyperlink r:id="rId30" w:history="1">
        <w:r w:rsidRPr="00CE6F14">
          <w:rPr>
            <w:rFonts w:ascii="Times New Roman" w:hAnsi="Times New Roman" w:cs="Times New Roman"/>
            <w:sz w:val="32"/>
            <w:szCs w:val="32"/>
          </w:rPr>
          <w:t>подпункту 38 пункта 3 статьи 149</w:t>
        </w:r>
      </w:hyperlink>
      <w:r w:rsidRPr="0088532F">
        <w:rPr>
          <w:rFonts w:ascii="Times New Roman" w:hAnsi="Times New Roman" w:cs="Times New Roman"/>
          <w:sz w:val="32"/>
          <w:szCs w:val="32"/>
        </w:rPr>
        <w:t xml:space="preserve"> Налогового кодекса Российской Федерации с 1 января 2022 года освобождение от налогообложения налогом на добавленную стоимость применяется в отношении услуг общественного питания, оказываемых организациями и индивидуальными предпринимателями через объекты общественного питания (рестораны, кафе, бары, предприятия быстрого обслуживания, буфеты, кафетерии, столовые, закусочные, отделы кулинарии при указанных объектах и иные аналогичные объекты общественного питания), а</w:t>
      </w:r>
      <w:proofErr w:type="gramEnd"/>
      <w:r w:rsidRPr="0088532F">
        <w:rPr>
          <w:rFonts w:ascii="Times New Roman" w:hAnsi="Times New Roman" w:cs="Times New Roman"/>
          <w:sz w:val="32"/>
          <w:szCs w:val="32"/>
        </w:rPr>
        <w:t xml:space="preserve"> также услуг общественного питания вне объектов </w:t>
      </w:r>
      <w:r w:rsidRPr="0088532F">
        <w:rPr>
          <w:rFonts w:ascii="Times New Roman" w:hAnsi="Times New Roman" w:cs="Times New Roman"/>
          <w:sz w:val="32"/>
          <w:szCs w:val="32"/>
        </w:rPr>
        <w:lastRenderedPageBreak/>
        <w:t>общественного питания по месту, выбранному заказчиком (выездное обслуживание), при соблюдении за календарный год, предшествующий году, в котором применяется освобождение от налога на добавленную стоимость, следующих условий:</w:t>
      </w:r>
    </w:p>
    <w:p w:rsidR="00CE6F14" w:rsidRPr="0088532F" w:rsidRDefault="00CE6F14" w:rsidP="00CE6F14">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xml:space="preserve">- сумма доходов не превысила в совокупности 2 </w:t>
      </w:r>
      <w:proofErr w:type="gramStart"/>
      <w:r w:rsidRPr="0088532F">
        <w:rPr>
          <w:rFonts w:ascii="Times New Roman" w:hAnsi="Times New Roman" w:cs="Times New Roman"/>
          <w:sz w:val="32"/>
          <w:szCs w:val="32"/>
        </w:rPr>
        <w:t>млрд</w:t>
      </w:r>
      <w:proofErr w:type="gramEnd"/>
      <w:r w:rsidRPr="0088532F">
        <w:rPr>
          <w:rFonts w:ascii="Times New Roman" w:hAnsi="Times New Roman" w:cs="Times New Roman"/>
          <w:sz w:val="32"/>
          <w:szCs w:val="32"/>
        </w:rPr>
        <w:t xml:space="preserve"> рублей;</w:t>
      </w:r>
    </w:p>
    <w:p w:rsidR="00CE6F14" w:rsidRPr="0088532F" w:rsidRDefault="00CE6F14" w:rsidP="00CE6F14">
      <w:pPr>
        <w:autoSpaceDE w:val="0"/>
        <w:autoSpaceDN w:val="0"/>
        <w:adjustRightInd w:val="0"/>
        <w:spacing w:after="0" w:line="240" w:lineRule="auto"/>
        <w:ind w:firstLine="709"/>
        <w:jc w:val="both"/>
        <w:rPr>
          <w:rFonts w:ascii="Times New Roman" w:hAnsi="Times New Roman" w:cs="Times New Roman"/>
          <w:sz w:val="32"/>
          <w:szCs w:val="32"/>
        </w:rPr>
      </w:pPr>
      <w:r w:rsidRPr="0088532F">
        <w:rPr>
          <w:rFonts w:ascii="Times New Roman" w:hAnsi="Times New Roman" w:cs="Times New Roman"/>
          <w:sz w:val="32"/>
          <w:szCs w:val="32"/>
        </w:rPr>
        <w:t>- удельный вес доходов от реализации услуг общественного питания в общей сумме доходов составил не менее 70 процентов;</w:t>
      </w:r>
    </w:p>
    <w:p w:rsidR="00CE6F14" w:rsidRPr="0088532F" w:rsidRDefault="00CE6F14" w:rsidP="00CE6F14">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88532F">
        <w:rPr>
          <w:rFonts w:ascii="Times New Roman" w:hAnsi="Times New Roman" w:cs="Times New Roman"/>
          <w:sz w:val="32"/>
          <w:szCs w:val="32"/>
        </w:rPr>
        <w:t xml:space="preserve">- среднемесячный размер выплат и иных вознаграждений, начисленных в пользу физических лиц, не ниже размера среднемесячной начисленной заработной платы в каждом субъекте Российской Федерации по виду экономической деятельности, определяемому по </w:t>
      </w:r>
      <w:hyperlink r:id="rId31" w:history="1">
        <w:r w:rsidRPr="00CE6F14">
          <w:rPr>
            <w:rFonts w:ascii="Times New Roman" w:hAnsi="Times New Roman" w:cs="Times New Roman"/>
            <w:sz w:val="32"/>
            <w:szCs w:val="32"/>
          </w:rPr>
          <w:t>классу 56</w:t>
        </w:r>
      </w:hyperlink>
      <w:r w:rsidRPr="0088532F">
        <w:rPr>
          <w:rFonts w:ascii="Times New Roman" w:hAnsi="Times New Roman" w:cs="Times New Roman"/>
          <w:sz w:val="32"/>
          <w:szCs w:val="32"/>
        </w:rPr>
        <w:t xml:space="preserve"> "Деятельность по предоставлению продуктов питания и напитков" раздела I "Деятельность гостиниц и предприятий общественного питания" в соответствии с Общероссийским классификатором видов экономической деятельности.</w:t>
      </w:r>
      <w:proofErr w:type="gramEnd"/>
    </w:p>
    <w:p w:rsidR="00CE6F14" w:rsidRPr="0088532F" w:rsidRDefault="00CE6F14" w:rsidP="00CE6F14">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88532F">
        <w:rPr>
          <w:rFonts w:ascii="Times New Roman" w:hAnsi="Times New Roman" w:cs="Times New Roman"/>
          <w:sz w:val="32"/>
          <w:szCs w:val="32"/>
        </w:rPr>
        <w:t xml:space="preserve">Таким образом, организация, перешедшая с 1 января 2022 года на общую систему налогообложения с упрощенной системы налогообложения, вправе с указанной даты применять освобождение от налогообложения налогом на добавленную стоимость в отношении услуг общественного питания, оказываемых через вышепоименованные объекты общественного питания и (или) вне этих объектов общественного питания по месту, выбранному заказчиком (выездное обслуживание), в случае соблюдения вышеуказанных условий, предусмотренных </w:t>
      </w:r>
      <w:hyperlink r:id="rId32" w:history="1">
        <w:r w:rsidRPr="00CE6F14">
          <w:rPr>
            <w:rFonts w:ascii="Times New Roman" w:hAnsi="Times New Roman" w:cs="Times New Roman"/>
            <w:sz w:val="32"/>
            <w:szCs w:val="32"/>
          </w:rPr>
          <w:t>подпунктом</w:t>
        </w:r>
        <w:proofErr w:type="gramEnd"/>
        <w:r w:rsidRPr="00CE6F14">
          <w:rPr>
            <w:rFonts w:ascii="Times New Roman" w:hAnsi="Times New Roman" w:cs="Times New Roman"/>
            <w:sz w:val="32"/>
            <w:szCs w:val="32"/>
          </w:rPr>
          <w:t xml:space="preserve"> 38 пункта 3 статьи 149</w:t>
        </w:r>
      </w:hyperlink>
      <w:r w:rsidRPr="0088532F">
        <w:rPr>
          <w:rFonts w:ascii="Times New Roman" w:hAnsi="Times New Roman" w:cs="Times New Roman"/>
          <w:sz w:val="32"/>
          <w:szCs w:val="32"/>
        </w:rPr>
        <w:t xml:space="preserve"> Кодекса.</w:t>
      </w:r>
    </w:p>
    <w:p w:rsidR="00CE6F14" w:rsidRDefault="00CE6F14" w:rsidP="006049CE">
      <w:pPr>
        <w:tabs>
          <w:tab w:val="left" w:pos="5529"/>
        </w:tabs>
        <w:autoSpaceDE w:val="0"/>
        <w:autoSpaceDN w:val="0"/>
        <w:adjustRightInd w:val="0"/>
        <w:spacing w:after="0" w:line="240" w:lineRule="auto"/>
        <w:ind w:firstLine="709"/>
        <w:jc w:val="both"/>
        <w:outlineLvl w:val="0"/>
        <w:rPr>
          <w:rFonts w:ascii="Times New Roman" w:hAnsi="Times New Roman" w:cs="Times New Roman"/>
          <w:sz w:val="32"/>
          <w:szCs w:val="32"/>
        </w:rPr>
      </w:pPr>
    </w:p>
    <w:sectPr w:rsidR="00CE6F14" w:rsidSect="0088532F">
      <w:pgSz w:w="11905" w:h="16838"/>
      <w:pgMar w:top="425" w:right="567"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7A8B"/>
    <w:multiLevelType w:val="multilevel"/>
    <w:tmpl w:val="CF7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A113D"/>
    <w:multiLevelType w:val="multilevel"/>
    <w:tmpl w:val="2224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02B15"/>
    <w:multiLevelType w:val="hybridMultilevel"/>
    <w:tmpl w:val="939A0008"/>
    <w:lvl w:ilvl="0" w:tplc="2B941F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909A8"/>
    <w:multiLevelType w:val="multilevel"/>
    <w:tmpl w:val="339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32"/>
    <w:rsid w:val="000101D9"/>
    <w:rsid w:val="000A4F32"/>
    <w:rsid w:val="003161A7"/>
    <w:rsid w:val="003316F4"/>
    <w:rsid w:val="00501F99"/>
    <w:rsid w:val="005D4E96"/>
    <w:rsid w:val="006049CE"/>
    <w:rsid w:val="006D3A4C"/>
    <w:rsid w:val="007F0078"/>
    <w:rsid w:val="0088532F"/>
    <w:rsid w:val="008E6B54"/>
    <w:rsid w:val="009C18DE"/>
    <w:rsid w:val="00C6349C"/>
    <w:rsid w:val="00CE6F14"/>
    <w:rsid w:val="00DD3369"/>
    <w:rsid w:val="00DE7559"/>
    <w:rsid w:val="00E7308E"/>
    <w:rsid w:val="00EC10A7"/>
    <w:rsid w:val="00EC7066"/>
    <w:rsid w:val="00ED06D3"/>
    <w:rsid w:val="00F2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F32"/>
    <w:rPr>
      <w:rFonts w:ascii="Tahoma" w:hAnsi="Tahoma" w:cs="Tahoma"/>
      <w:sz w:val="16"/>
      <w:szCs w:val="16"/>
    </w:rPr>
  </w:style>
  <w:style w:type="character" w:styleId="a5">
    <w:name w:val="Hyperlink"/>
    <w:basedOn w:val="a0"/>
    <w:uiPriority w:val="99"/>
    <w:unhideWhenUsed/>
    <w:rsid w:val="00F23567"/>
    <w:rPr>
      <w:color w:val="0000FF"/>
      <w:u w:val="single"/>
    </w:rPr>
  </w:style>
  <w:style w:type="paragraph" w:styleId="a6">
    <w:name w:val="List Paragraph"/>
    <w:basedOn w:val="a"/>
    <w:uiPriority w:val="34"/>
    <w:qFormat/>
    <w:rsid w:val="00885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F32"/>
    <w:rPr>
      <w:rFonts w:ascii="Tahoma" w:hAnsi="Tahoma" w:cs="Tahoma"/>
      <w:sz w:val="16"/>
      <w:szCs w:val="16"/>
    </w:rPr>
  </w:style>
  <w:style w:type="character" w:styleId="a5">
    <w:name w:val="Hyperlink"/>
    <w:basedOn w:val="a0"/>
    <w:uiPriority w:val="99"/>
    <w:unhideWhenUsed/>
    <w:rsid w:val="00F23567"/>
    <w:rPr>
      <w:color w:val="0000FF"/>
      <w:u w:val="single"/>
    </w:rPr>
  </w:style>
  <w:style w:type="paragraph" w:styleId="a6">
    <w:name w:val="List Paragraph"/>
    <w:basedOn w:val="a"/>
    <w:uiPriority w:val="34"/>
    <w:qFormat/>
    <w:rsid w:val="00885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530EE4329A6BCE891CE6AF84F965B3A3EC9740A904352D97C37A6C767FF767B7E6F92196764D61D78A8AE84F1D780EDAEADAFB435CAc9p1H" TargetMode="External"/><Relationship Id="rId13" Type="http://schemas.openxmlformats.org/officeDocument/2006/relationships/hyperlink" Target="consultantplus://offline/ref=542A5D0761CEC796116885D0F20F0BE01D78044D29BFED8B8B4A1FF8E44B6E51977EAA02BA745D460764B35C09C0E3363F2D75601682510BMDr8H" TargetMode="External"/><Relationship Id="rId18" Type="http://schemas.openxmlformats.org/officeDocument/2006/relationships/hyperlink" Target="consultantplus://offline/ref=6AAE596A00D35A8F3CE6991EF48C980478EAF190ECEE9EC6DB44B944D6C80133922F615F1D372D95D2EB7B418B0852CEA655F30851F52DECv8H" TargetMode="External"/><Relationship Id="rId26" Type="http://schemas.openxmlformats.org/officeDocument/2006/relationships/hyperlink" Target="consultantplus://offline/ref=651B2BB34A443E7A39BEDF67635751B00D0E9A922F26C2B297A2D25C93794B3A46D5891CD9C6E0170ECFFF865F78C1FA6F78DA8CC4F37E53wC2EH" TargetMode="External"/><Relationship Id="rId3" Type="http://schemas.microsoft.com/office/2007/relationships/stylesWithEffects" Target="stylesWithEffects.xml"/><Relationship Id="rId21" Type="http://schemas.openxmlformats.org/officeDocument/2006/relationships/hyperlink" Target="consultantplus://offline/ref=651B2BB34A443E7A39BEDF67635751B00A0998912921C2B297A2D25C93794B3A46D5891CD9C6E0150BCFFF865F78C1FA6F78DA8CC4F37E53wC2EH" TargetMode="External"/><Relationship Id="rId34" Type="http://schemas.openxmlformats.org/officeDocument/2006/relationships/theme" Target="theme/theme1.xml"/><Relationship Id="rId7" Type="http://schemas.openxmlformats.org/officeDocument/2006/relationships/hyperlink" Target="consultantplus://offline/ref=395530EE4329A6BCE891CE6AF84F965B3A3EC9740A904352D97C37A6C767FF767B7E6F96116C62DE427DBDBFDCFDD59DF3ABB6B3B637cCpAH" TargetMode="External"/><Relationship Id="rId12" Type="http://schemas.openxmlformats.org/officeDocument/2006/relationships/hyperlink" Target="consultantplus://offline/ref=542A5D0761CEC796116885D0F20F0BE01A71044823B2ED8B8B4A1FF8E44B6E51977EAA02BC7D584D5B3EA3584094ED293C366B670882M5r3H" TargetMode="External"/><Relationship Id="rId17" Type="http://schemas.openxmlformats.org/officeDocument/2006/relationships/hyperlink" Target="consultantplus://offline/ref=6AAE596A00D35A8F3CE6991EF48C980478EAF190ECEE9EC6DB44B944D6C80133922F615F1C352890DAB47E549A505ECCBB4BF6134DF72FC8E1vCH" TargetMode="External"/><Relationship Id="rId25" Type="http://schemas.openxmlformats.org/officeDocument/2006/relationships/hyperlink" Target="consultantplus://offline/ref=651B2BB34A443E7A39BEDF67635751B00A0998912921C2B297A2D25C93794B3A46D5891CD9C6E41E0BCFFF865F78C1FA6F78DA8CC4F37E53wC2E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AAE596A00D35A8F3CE6991EF48C980478EAF190EFE79EC6DB44B944D6C80133922F615C1D3223C088FB7F08DF064DCDBD4BF41651EFv7H" TargetMode="External"/><Relationship Id="rId20" Type="http://schemas.openxmlformats.org/officeDocument/2006/relationships/hyperlink" Target="consultantplus://offline/ref=651B2BB34A443E7A39BEDF67635751B00A0998912921C2B297A2D25C93794B3A46D5891CD9C6E0150ECFFF865F78C1FA6F78DA8CC4F37E53wC2EH" TargetMode="External"/><Relationship Id="rId29" Type="http://schemas.openxmlformats.org/officeDocument/2006/relationships/hyperlink" Target="consultantplus://offline/ref=2D691AB267EB3CBE46F466A269AB79AEC9D8CD45A5E5C95327A306370A755DD416D263FA33FA3443664F456E7968F8AC9BA4A3CC3F27F3x9kCH" TargetMode="External"/><Relationship Id="rId1" Type="http://schemas.openxmlformats.org/officeDocument/2006/relationships/numbering" Target="numbering.xml"/><Relationship Id="rId6" Type="http://schemas.openxmlformats.org/officeDocument/2006/relationships/hyperlink" Target="consultantplus://offline/ref=395530EE4329A6BCE891CE6AF84F965B3A3EC9740A904352D97C37A6C767FF767B7E6F941B666FDE427DBDBFDCFDD59DF3ABB6B3B637cCpAH" TargetMode="External"/><Relationship Id="rId11" Type="http://schemas.openxmlformats.org/officeDocument/2006/relationships/hyperlink" Target="consultantplus://offline/ref=542A5D0761CEC796116885D0F20F0BE01D78044D29BFED8B8B4A1FF8E44B6E51977EAA02BF705843043BB6491898EF342233707B0A8053M0rBH" TargetMode="External"/><Relationship Id="rId24" Type="http://schemas.openxmlformats.org/officeDocument/2006/relationships/hyperlink" Target="consultantplus://offline/ref=651B2BB34A443E7A39BEDF67635751B00A0998912921C2B297A2D25C93794B3A46D5891CD9C6E4110ACFFF865F78C1FA6F78DA8CC4F37E53wC2EH" TargetMode="External"/><Relationship Id="rId32" Type="http://schemas.openxmlformats.org/officeDocument/2006/relationships/hyperlink" Target="consultantplus://offline/ref=BF01F42B5E7C2725FB66D48301D172D6D5ACB840D4B662631E6C64B04366B8A1506C5E30A7DB6CE28AD1D437694E74B962533CBE87B8CALB0CH" TargetMode="External"/><Relationship Id="rId5" Type="http://schemas.openxmlformats.org/officeDocument/2006/relationships/webSettings" Target="webSettings.xml"/><Relationship Id="rId15" Type="http://schemas.openxmlformats.org/officeDocument/2006/relationships/hyperlink" Target="consultantplus://offline/ref=6AAE596A00D35A8F3CE6991EF48C980478EAF190ECEE9EC6DB44B944D6C80133922F615D1B30289F8DEE6E50D30450D3B850E81453F7E2vDH" TargetMode="External"/><Relationship Id="rId23" Type="http://schemas.openxmlformats.org/officeDocument/2006/relationships/hyperlink" Target="consultantplus://offline/ref=651B2BB34A443E7A39BEDF67635751B00A0998912921C2B297A2D25C93794B3A46D5891CD9C6E0120FCFFF865F78C1FA6F78DA8CC4F37E53wC2EH" TargetMode="External"/><Relationship Id="rId28" Type="http://schemas.openxmlformats.org/officeDocument/2006/relationships/hyperlink" Target="consultantplus://offline/ref=B1A6F9EFFDF32F4441C776350B7AE31998FBB37DA6C14308030015E00E0A6A37DFB43CC90C0AA97B02E148F0AE9B06D075067CE5D8F157Z5VBM" TargetMode="External"/><Relationship Id="rId10" Type="http://schemas.openxmlformats.org/officeDocument/2006/relationships/hyperlink" Target="consultantplus://offline/ref=542A5D0761CEC796116885D0F20F0BE01D78044D29BFED8B8B4A1FF8E44B6E51977EAA01BB775B4D5B3EA3584094ED293C366B670882M5r3H" TargetMode="External"/><Relationship Id="rId19" Type="http://schemas.openxmlformats.org/officeDocument/2006/relationships/hyperlink" Target="consultantplus://offline/ref=651B2BB34A443E7A39BEDF67635751B00D0E9A922F26C2B297A2D25C93794B3A46D5891CD9C6E0170ECFFF865F78C1FA6F78DA8CC4F37E53wC2EH" TargetMode="External"/><Relationship Id="rId31" Type="http://schemas.openxmlformats.org/officeDocument/2006/relationships/hyperlink" Target="consultantplus://offline/ref=BF01F42B5E7C2725FB66D48301D172D6D2ABB646D1B162631E6C64B04366B8A1506C5E33A7D76BE8878ED122781678BB7F4D39A59BBAC8BCLF06H" TargetMode="External"/><Relationship Id="rId4" Type="http://schemas.openxmlformats.org/officeDocument/2006/relationships/settings" Target="settings.xml"/><Relationship Id="rId9" Type="http://schemas.openxmlformats.org/officeDocument/2006/relationships/hyperlink" Target="consultantplus://offline/ref=395530EE4329A6BCE891CE6AF84F965B3A3EC9740A904352D97C37A6C767FF767B7E6F941B666FDE427DBDBFDCFDD59DF3ABB6B3B637cCpAH" TargetMode="External"/><Relationship Id="rId14" Type="http://schemas.openxmlformats.org/officeDocument/2006/relationships/hyperlink" Target="consultantplus://offline/ref=6AAE596A00D35A8F3CE6991EF48C980478EAF190ECEE9EC6DB44B944D6C80133922F615F1C352890DAB47E549A505ECCBB4BF6134DF72FC8E1vCH" TargetMode="External"/><Relationship Id="rId22" Type="http://schemas.openxmlformats.org/officeDocument/2006/relationships/hyperlink" Target="consultantplus://offline/ref=651B2BB34A443E7A39BEDF67635751B00A0998912921C2B297A2D25C93794B3A46D5891CD9C6E01507CFFF865F78C1FA6F78DA8CC4F37E53wC2EH" TargetMode="External"/><Relationship Id="rId27" Type="http://schemas.openxmlformats.org/officeDocument/2006/relationships/hyperlink" Target="consultantplus://offline/ref=949B2AB7D933D5391150D117EB2E6C8A10467C5F45C9B41AA4CA273DD7D1BC7D7B456FF3EE1685F52516E37FC588ECB222183B70D408C6XCSDM" TargetMode="External"/><Relationship Id="rId30" Type="http://schemas.openxmlformats.org/officeDocument/2006/relationships/hyperlink" Target="consultantplus://offline/ref=BF01F42B5E7C2725FB66D48301D172D6D5ACB840D4B662631E6C64B04366B8A1506C5E30A7DB6CEE8AD1D437694E74B962533CBE87B8CALB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 Илья Евгеньевич</dc:creator>
  <cp:lastModifiedBy>Букин Илья Евгеньевич</cp:lastModifiedBy>
  <cp:revision>2</cp:revision>
  <dcterms:created xsi:type="dcterms:W3CDTF">2022-05-23T06:36:00Z</dcterms:created>
  <dcterms:modified xsi:type="dcterms:W3CDTF">2022-05-23T06:36:00Z</dcterms:modified>
</cp:coreProperties>
</file>