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58" w:rsidRPr="001E2F96" w:rsidRDefault="00191758">
      <w:pPr>
        <w:pStyle w:val="ConsPlusTitle"/>
        <w:jc w:val="center"/>
        <w:outlineLvl w:val="0"/>
        <w:rPr>
          <w:rFonts w:ascii="Arial" w:hAnsi="Arial" w:cs="Arial"/>
          <w:b w:val="0"/>
        </w:rPr>
      </w:pP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jc w:val="right"/>
        <w:outlineLvl w:val="0"/>
        <w:rPr>
          <w:rFonts w:ascii="Arial" w:hAnsi="Arial" w:cs="Arial"/>
        </w:rPr>
      </w:pPr>
      <w:r w:rsidRPr="001E2F96">
        <w:rPr>
          <w:rFonts w:ascii="Arial" w:hAnsi="Arial" w:cs="Arial"/>
        </w:rPr>
        <w:t>Приложение N 2</w:t>
      </w:r>
    </w:p>
    <w:p w:rsidR="00191758" w:rsidRPr="001E2F96" w:rsidRDefault="00191758">
      <w:pPr>
        <w:pStyle w:val="ConsPlusNormal"/>
        <w:jc w:val="right"/>
        <w:rPr>
          <w:rFonts w:ascii="Arial" w:hAnsi="Arial" w:cs="Arial"/>
        </w:rPr>
      </w:pPr>
      <w:r w:rsidRPr="001E2F96">
        <w:rPr>
          <w:rFonts w:ascii="Arial" w:hAnsi="Arial" w:cs="Arial"/>
        </w:rPr>
        <w:t>к Решению</w:t>
      </w:r>
    </w:p>
    <w:p w:rsidR="00191758" w:rsidRPr="001E2F96" w:rsidRDefault="00191758">
      <w:pPr>
        <w:pStyle w:val="ConsPlusNormal"/>
        <w:jc w:val="right"/>
        <w:rPr>
          <w:rFonts w:ascii="Arial" w:hAnsi="Arial" w:cs="Arial"/>
        </w:rPr>
      </w:pPr>
      <w:r w:rsidRPr="001E2F96">
        <w:rPr>
          <w:rFonts w:ascii="Arial" w:hAnsi="Arial" w:cs="Arial"/>
        </w:rPr>
        <w:t>Вологодской городской Думы</w:t>
      </w:r>
    </w:p>
    <w:p w:rsidR="00191758" w:rsidRPr="001E2F96" w:rsidRDefault="00191758">
      <w:pPr>
        <w:pStyle w:val="ConsPlusNormal"/>
        <w:jc w:val="right"/>
        <w:rPr>
          <w:rFonts w:ascii="Arial" w:hAnsi="Arial" w:cs="Arial"/>
        </w:rPr>
      </w:pPr>
      <w:r w:rsidRPr="001E2F96">
        <w:rPr>
          <w:rFonts w:ascii="Arial" w:hAnsi="Arial" w:cs="Arial"/>
        </w:rPr>
        <w:t>от 6 октября 2005 г. N 310</w:t>
      </w: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jc w:val="center"/>
        <w:rPr>
          <w:rFonts w:ascii="Arial" w:hAnsi="Arial" w:cs="Arial"/>
        </w:rPr>
      </w:pPr>
      <w:bookmarkStart w:id="0" w:name="P90"/>
      <w:bookmarkEnd w:id="0"/>
      <w:r w:rsidRPr="001E2F96">
        <w:rPr>
          <w:rFonts w:ascii="Arial" w:hAnsi="Arial" w:cs="Arial"/>
        </w:rPr>
        <w:t>ЗНАЧЕНИЯ</w:t>
      </w:r>
    </w:p>
    <w:p w:rsidR="00191758" w:rsidRPr="001E2F96" w:rsidRDefault="00191758">
      <w:pPr>
        <w:pStyle w:val="ConsPlusNormal"/>
        <w:jc w:val="center"/>
        <w:rPr>
          <w:rFonts w:ascii="Arial" w:hAnsi="Arial" w:cs="Arial"/>
        </w:rPr>
      </w:pPr>
      <w:r w:rsidRPr="001E2F96">
        <w:rPr>
          <w:rFonts w:ascii="Arial" w:hAnsi="Arial" w:cs="Arial"/>
        </w:rPr>
        <w:t>КОРРЕКТИРУЮЩЕГО КОЭФФИЦИЕНТА БАЗОВОЙ ДОХОДНОСТИ К</w:t>
      </w:r>
      <w:proofErr w:type="gramStart"/>
      <w:r w:rsidRPr="001E2F96">
        <w:rPr>
          <w:rFonts w:ascii="Arial" w:hAnsi="Arial" w:cs="Arial"/>
        </w:rPr>
        <w:t>2</w:t>
      </w:r>
      <w:proofErr w:type="gramEnd"/>
    </w:p>
    <w:p w:rsidR="00191758" w:rsidRPr="001E2F96" w:rsidRDefault="00191758">
      <w:pPr>
        <w:pStyle w:val="ConsPlusNormal"/>
        <w:jc w:val="center"/>
        <w:rPr>
          <w:rFonts w:ascii="Arial" w:hAnsi="Arial" w:cs="Arial"/>
        </w:rPr>
      </w:pPr>
      <w:r w:rsidRPr="001E2F96">
        <w:rPr>
          <w:rFonts w:ascii="Arial" w:hAnsi="Arial" w:cs="Arial"/>
        </w:rPr>
        <w:t>С УЧЕТОМ ФАКТОРОВ, ОКАЗЫВАЮЩИХ ВЛИЯНИЕ НА РЕЗУЛЬТАТ</w:t>
      </w:r>
    </w:p>
    <w:p w:rsidR="00191758" w:rsidRPr="001E2F96" w:rsidRDefault="00191758">
      <w:pPr>
        <w:pStyle w:val="ConsPlusNormal"/>
        <w:jc w:val="center"/>
        <w:rPr>
          <w:rFonts w:ascii="Arial" w:hAnsi="Arial" w:cs="Arial"/>
        </w:rPr>
      </w:pPr>
      <w:r w:rsidRPr="001E2F96">
        <w:rPr>
          <w:rFonts w:ascii="Arial" w:hAnsi="Arial" w:cs="Arial"/>
        </w:rPr>
        <w:t>ПРЕДПРИНИМАТЕЛЬСКОЙ ДЕЯТЕЛЬНОСТИ, НА ТЕРРИТОРИИ</w:t>
      </w:r>
    </w:p>
    <w:p w:rsidR="00191758" w:rsidRPr="001E2F96" w:rsidRDefault="00191758">
      <w:pPr>
        <w:pStyle w:val="ConsPlusNormal"/>
        <w:jc w:val="center"/>
        <w:rPr>
          <w:rFonts w:ascii="Arial" w:hAnsi="Arial" w:cs="Arial"/>
        </w:rPr>
      </w:pPr>
      <w:r w:rsidRPr="001E2F96">
        <w:rPr>
          <w:rFonts w:ascii="Arial" w:hAnsi="Arial" w:cs="Arial"/>
        </w:rPr>
        <w:t>МУНИЦИПАЛЬНОГО ОБРАЗОВАНИЯ "ГОРОД ВОЛОГДА"</w:t>
      </w:r>
    </w:p>
    <w:p w:rsidR="00191758" w:rsidRPr="001E2F96" w:rsidRDefault="00191758">
      <w:pPr>
        <w:pStyle w:val="ConsPlusNormal"/>
        <w:jc w:val="center"/>
        <w:rPr>
          <w:rFonts w:ascii="Arial" w:hAnsi="Arial" w:cs="Arial"/>
        </w:rPr>
      </w:pPr>
    </w:p>
    <w:p w:rsidR="00191758" w:rsidRPr="001E2F96" w:rsidRDefault="00191758">
      <w:pPr>
        <w:pStyle w:val="ConsPlusNormal"/>
        <w:jc w:val="center"/>
        <w:rPr>
          <w:rFonts w:ascii="Arial" w:hAnsi="Arial" w:cs="Arial"/>
        </w:rPr>
      </w:pPr>
      <w:r w:rsidRPr="001E2F96">
        <w:rPr>
          <w:rFonts w:ascii="Arial" w:hAnsi="Arial" w:cs="Arial"/>
        </w:rPr>
        <w:t>Список изменяющих документов</w:t>
      </w:r>
    </w:p>
    <w:p w:rsidR="00191758" w:rsidRPr="001E2F96" w:rsidRDefault="00191758">
      <w:pPr>
        <w:pStyle w:val="ConsPlusNormal"/>
        <w:jc w:val="center"/>
        <w:rPr>
          <w:rFonts w:ascii="Arial" w:hAnsi="Arial" w:cs="Arial"/>
        </w:rPr>
      </w:pPr>
      <w:proofErr w:type="gramStart"/>
      <w:r w:rsidRPr="001E2F96">
        <w:rPr>
          <w:rFonts w:ascii="Arial" w:hAnsi="Arial" w:cs="Arial"/>
        </w:rPr>
        <w:t>(в ред. решений Вологодской городской Думы</w:t>
      </w:r>
      <w:proofErr w:type="gramEnd"/>
    </w:p>
    <w:p w:rsidR="00191758" w:rsidRPr="001E2F96" w:rsidRDefault="00191758">
      <w:pPr>
        <w:pStyle w:val="ConsPlusNormal"/>
        <w:jc w:val="center"/>
        <w:rPr>
          <w:rFonts w:ascii="Arial" w:hAnsi="Arial" w:cs="Arial"/>
        </w:rPr>
      </w:pPr>
      <w:r w:rsidRPr="001E2F96">
        <w:rPr>
          <w:rFonts w:ascii="Arial" w:hAnsi="Arial" w:cs="Arial"/>
        </w:rPr>
        <w:t xml:space="preserve">от 31.10.2013 </w:t>
      </w:r>
      <w:hyperlink r:id="rId5" w:history="1">
        <w:r w:rsidRPr="001E2F96">
          <w:rPr>
            <w:rFonts w:ascii="Arial" w:hAnsi="Arial" w:cs="Arial"/>
          </w:rPr>
          <w:t>N 1850</w:t>
        </w:r>
      </w:hyperlink>
      <w:r w:rsidRPr="001E2F96">
        <w:rPr>
          <w:rFonts w:ascii="Arial" w:hAnsi="Arial" w:cs="Arial"/>
        </w:rPr>
        <w:t xml:space="preserve">, от 21.04.2016 </w:t>
      </w:r>
      <w:hyperlink r:id="rId6" w:history="1">
        <w:r w:rsidRPr="001E2F96">
          <w:rPr>
            <w:rFonts w:ascii="Arial" w:hAnsi="Arial" w:cs="Arial"/>
          </w:rPr>
          <w:t>N 772</w:t>
        </w:r>
      </w:hyperlink>
      <w:r w:rsidRPr="001E2F96">
        <w:rPr>
          <w:rFonts w:ascii="Arial" w:hAnsi="Arial" w:cs="Arial"/>
        </w:rPr>
        <w:t>)</w:t>
      </w: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При расчете суммы единого налога на вмененный доход в текущем календарном году применяется значение К</w:t>
      </w:r>
      <w:proofErr w:type="gramStart"/>
      <w:r w:rsidRPr="001E2F96">
        <w:rPr>
          <w:rFonts w:ascii="Arial" w:hAnsi="Arial" w:cs="Arial"/>
        </w:rPr>
        <w:t>2</w:t>
      </w:r>
      <w:proofErr w:type="gramEnd"/>
      <w:r w:rsidRPr="001E2F96">
        <w:rPr>
          <w:rFonts w:ascii="Arial" w:hAnsi="Arial" w:cs="Arial"/>
        </w:rPr>
        <w:t xml:space="preserve"> &lt;1&gt;, определяемое по формуле:</w:t>
      </w: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--------------------------------</w:t>
      </w: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&lt;1&gt; К</w:t>
      </w:r>
      <w:proofErr w:type="gramStart"/>
      <w:r w:rsidRPr="001E2F96">
        <w:rPr>
          <w:rFonts w:ascii="Arial" w:hAnsi="Arial" w:cs="Arial"/>
        </w:rPr>
        <w:t>2</w:t>
      </w:r>
      <w:proofErr w:type="gramEnd"/>
      <w:r w:rsidRPr="001E2F96">
        <w:rPr>
          <w:rFonts w:ascii="Arial" w:hAnsi="Arial" w:cs="Arial"/>
        </w:rPr>
        <w:t xml:space="preserve"> - корректирующий коэффициент базовой доходности, используемый в настоящем решении в соответствии с </w:t>
      </w:r>
      <w:hyperlink r:id="rId7" w:history="1">
        <w:r w:rsidRPr="001E2F96">
          <w:rPr>
            <w:rFonts w:ascii="Arial" w:hAnsi="Arial" w:cs="Arial"/>
          </w:rPr>
          <w:t>абзацем шестым статьи 346.27</w:t>
        </w:r>
      </w:hyperlink>
      <w:r w:rsidRPr="001E2F96">
        <w:rPr>
          <w:rFonts w:ascii="Arial" w:hAnsi="Arial" w:cs="Arial"/>
        </w:rPr>
        <w:t xml:space="preserve"> части 2 Налогового кодекса Российской Федерации.</w:t>
      </w: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К</w:t>
      </w:r>
      <w:proofErr w:type="gramStart"/>
      <w:r w:rsidRPr="001E2F96">
        <w:rPr>
          <w:rFonts w:ascii="Arial" w:hAnsi="Arial" w:cs="Arial"/>
        </w:rPr>
        <w:t>2</w:t>
      </w:r>
      <w:proofErr w:type="gramEnd"/>
      <w:r w:rsidRPr="001E2F96">
        <w:rPr>
          <w:rFonts w:ascii="Arial" w:hAnsi="Arial" w:cs="Arial"/>
        </w:rPr>
        <w:t xml:space="preserve"> = Кд x </w:t>
      </w:r>
      <w:proofErr w:type="spellStart"/>
      <w:r w:rsidRPr="001E2F96">
        <w:rPr>
          <w:rFonts w:ascii="Arial" w:hAnsi="Arial" w:cs="Arial"/>
        </w:rPr>
        <w:t>Кзп</w:t>
      </w:r>
      <w:proofErr w:type="spellEnd"/>
      <w:r w:rsidRPr="001E2F96">
        <w:rPr>
          <w:rFonts w:ascii="Arial" w:hAnsi="Arial" w:cs="Arial"/>
        </w:rPr>
        <w:t xml:space="preserve"> x Ка, где:</w:t>
      </w: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Кд - корректирующий коэффициент, учитывающий величину доходов определенного вида предпринимательской деятельности;</w:t>
      </w: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proofErr w:type="spellStart"/>
      <w:r w:rsidRPr="001E2F96">
        <w:rPr>
          <w:rFonts w:ascii="Arial" w:hAnsi="Arial" w:cs="Arial"/>
        </w:rPr>
        <w:t>Кзп</w:t>
      </w:r>
      <w:proofErr w:type="spellEnd"/>
      <w:r w:rsidRPr="001E2F96">
        <w:rPr>
          <w:rFonts w:ascii="Arial" w:hAnsi="Arial" w:cs="Arial"/>
        </w:rPr>
        <w:t xml:space="preserve"> - корректирующий коэффициент, учитывающий среднемесячный размер заработной платы одного работника организации (индивидуального предпринимателя) &lt;2&gt;;</w:t>
      </w: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--------------------------------</w:t>
      </w: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&lt;2</w:t>
      </w:r>
      <w:proofErr w:type="gramStart"/>
      <w:r w:rsidRPr="001E2F96">
        <w:rPr>
          <w:rFonts w:ascii="Arial" w:hAnsi="Arial" w:cs="Arial"/>
        </w:rPr>
        <w:t>&gt; Д</w:t>
      </w:r>
      <w:proofErr w:type="gramEnd"/>
      <w:r w:rsidRPr="001E2F96">
        <w:rPr>
          <w:rFonts w:ascii="Arial" w:hAnsi="Arial" w:cs="Arial"/>
        </w:rPr>
        <w:t xml:space="preserve">ля налогоплательщиков, являющихся индивидуальными предпринимателями и осуществляющих деятельность самостоятельно (без заключения трудовых договоров и договоров гражданско-правового характера с физическими лицами), применяется </w:t>
      </w:r>
      <w:proofErr w:type="spellStart"/>
      <w:r w:rsidRPr="001E2F96">
        <w:rPr>
          <w:rFonts w:ascii="Arial" w:hAnsi="Arial" w:cs="Arial"/>
        </w:rPr>
        <w:t>Кзп</w:t>
      </w:r>
      <w:proofErr w:type="spellEnd"/>
      <w:r w:rsidRPr="001E2F96">
        <w:rPr>
          <w:rFonts w:ascii="Arial" w:hAnsi="Arial" w:cs="Arial"/>
        </w:rPr>
        <w:t>, равный 1.</w:t>
      </w: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Ка - корректирующий коэффициент, учитывающий ассортимент товаров (работ, услуг) определенного вида предпринимательской деятельности &lt;3&gt;.</w:t>
      </w: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--------------------------------</w:t>
      </w: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&lt;3&gt; Ка применяется только для вида предпринимательской деятельности "Оказание услуг общественного питания через объект организации общественного питания, имеющий зал обслуживания посетителей", в отношении иных видов предпринимательской деятельности применяется значение Ка, равное 1.</w:t>
      </w: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rPr>
          <w:rFonts w:ascii="Arial" w:hAnsi="Arial" w:cs="Arial"/>
        </w:rPr>
        <w:sectPr w:rsidR="00191758" w:rsidRPr="001E2F96" w:rsidSect="00BD61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191758" w:rsidRPr="001E2F96" w:rsidRDefault="00191758">
      <w:pPr>
        <w:pStyle w:val="ConsPlusNormal"/>
        <w:jc w:val="center"/>
        <w:outlineLvl w:val="1"/>
        <w:rPr>
          <w:rFonts w:ascii="Arial" w:hAnsi="Arial" w:cs="Arial"/>
        </w:rPr>
      </w:pPr>
      <w:r w:rsidRPr="001E2F96">
        <w:rPr>
          <w:rFonts w:ascii="Arial" w:hAnsi="Arial" w:cs="Arial"/>
        </w:rPr>
        <w:lastRenderedPageBreak/>
        <w:t>Значения Кд</w:t>
      </w: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474"/>
      </w:tblGrid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Вид предпринимательской деятельности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Значение Кд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2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 xml:space="preserve">1. 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8" w:history="1">
              <w:r w:rsidRPr="001E2F96">
                <w:rPr>
                  <w:rFonts w:ascii="Arial" w:hAnsi="Arial" w:cs="Arial"/>
                </w:rPr>
                <w:t>классификатором</w:t>
              </w:r>
            </w:hyperlink>
            <w:r w:rsidRPr="001E2F96">
              <w:rPr>
                <w:rFonts w:ascii="Arial" w:hAnsi="Arial" w:cs="Arial"/>
              </w:rPr>
              <w:t xml:space="preserve"> услуг населению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1.1. Ремонт, окраска и пошив обуви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0.45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1.2. 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0.45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1.3. Ремонт часов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0.59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1.4. Ремонт и изготовление ювелирных изделий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1.5. 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1.6. Изготовление и ремонт металлоизделий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0.59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1.7. Услуги фотоателье, фот</w:t>
            </w:r>
            <w:proofErr w:type="gramStart"/>
            <w:r w:rsidRPr="001E2F96">
              <w:rPr>
                <w:rFonts w:ascii="Arial" w:hAnsi="Arial" w:cs="Arial"/>
              </w:rPr>
              <w:t>о-</w:t>
            </w:r>
            <w:proofErr w:type="gramEnd"/>
            <w:r w:rsidRPr="001E2F96">
              <w:rPr>
                <w:rFonts w:ascii="Arial" w:hAnsi="Arial" w:cs="Arial"/>
              </w:rPr>
              <w:t>, кинолабораторий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0.77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1.8. Услуги предприятий по прокату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0.77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1.9. Химическая чистка и крашение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1.10. Ритуальные услуги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0.45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1.11. Услуги парикмахерских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0.59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1.12. Ремонт мебели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1.13. Услуги бань, душевых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0.07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lastRenderedPageBreak/>
              <w:t>1.14. Прочие услуги, оказываемые в банях и душевых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1.15. Услуги прачечных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0.30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1.16. Граверные работы по металлу, стеклу, фарфору, дереву, керамике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1.17. Ремонт и строительство жилья и других построек (за исключением услуг по строительству индивидуальных домов)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1.18. Услуги справочно-информационной службы по выдаче справок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1.19. Оказание услуг населению по заполнению бланков, написанию заявлений, снятию копий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 xml:space="preserve">1.20. Обеспечение индивидуальных подписчиков </w:t>
            </w:r>
            <w:proofErr w:type="spellStart"/>
            <w:r w:rsidRPr="001E2F96">
              <w:rPr>
                <w:rFonts w:ascii="Arial" w:hAnsi="Arial" w:cs="Arial"/>
              </w:rPr>
              <w:t>газетно</w:t>
            </w:r>
            <w:proofErr w:type="spellEnd"/>
            <w:r w:rsidRPr="001E2F96">
              <w:rPr>
                <w:rFonts w:ascii="Arial" w:hAnsi="Arial" w:cs="Arial"/>
              </w:rPr>
              <w:t>-журнальной информацией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0.30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1.21. Оформление заказов на покупку очков, оправ, лекарств по рецепту и доставку их на дом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0.30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1.22. Услуги по присмотру за детьми и больными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0.15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1.23. Нарезка стекла и зеркал, художественная обработка стекла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1.24. Прочие услуги непроизводственного характера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2. Оказание ветеринарных услуг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0.30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5. Оказание автотранспортных услуг по перевозке пассажиров и грузов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lastRenderedPageBreak/>
              <w:t>5.1. Оказание автотранспортных услуг по перевозке грузов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5.2. Оказание автотранспортных услуг по перевозке пассажиров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0.30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6.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0.52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7.1.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7.2. Реализация товаров с использованием торговых автоматов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7.3.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7.4. Развозная и разносная розничная торговля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8. 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8.1. Рестораны, бары, кафе, закусочные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8.2. Столовые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0.50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9.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 xml:space="preserve">10. Распространение наружной рекламы с использованием рекламных </w:t>
            </w:r>
            <w:r w:rsidRPr="001E2F96">
              <w:rPr>
                <w:rFonts w:ascii="Arial" w:hAnsi="Arial" w:cs="Arial"/>
              </w:rPr>
              <w:lastRenderedPageBreak/>
              <w:t>конструкций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lastRenderedPageBreak/>
              <w:t>10.1.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0.45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10.2.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0.45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10.3. Распространение наружной рекламы посредством электронных табло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0.45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12. Оказание услуг по временному размещению и проживанию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13.1.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при условии, что площадь каждого из них не превышает 5 квадратных метров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13.2.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при условии, что площадь каждого из них превышает 5 квадратных метров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 xml:space="preserve">14. Оказание услуг по передаче во временное владение и (или) в пользование </w:t>
            </w:r>
            <w:r w:rsidRPr="001E2F96">
              <w:rPr>
                <w:rFonts w:ascii="Arial" w:hAnsi="Arial" w:cs="Arial"/>
              </w:rPr>
              <w:lastRenderedPageBreak/>
              <w:t>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lastRenderedPageBreak/>
              <w:t>14.1.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при условии, что площадь земельного участка не превышает 10 квадратных метров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  <w:tr w:rsidR="001E2F96" w:rsidRPr="001E2F96">
        <w:tc>
          <w:tcPr>
            <w:tcW w:w="8277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14.2.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при условии, что площадь земельного участка превышает 10 квадратных метров</w:t>
            </w:r>
          </w:p>
        </w:tc>
        <w:tc>
          <w:tcPr>
            <w:tcW w:w="147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0.80</w:t>
            </w:r>
          </w:p>
        </w:tc>
      </w:tr>
    </w:tbl>
    <w:p w:rsidR="00191758" w:rsidRPr="001E2F96" w:rsidRDefault="00191758">
      <w:pPr>
        <w:rPr>
          <w:rFonts w:ascii="Arial" w:hAnsi="Arial" w:cs="Arial"/>
        </w:rPr>
        <w:sectPr w:rsidR="00191758" w:rsidRPr="001E2F9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jc w:val="center"/>
        <w:outlineLvl w:val="1"/>
        <w:rPr>
          <w:rFonts w:ascii="Arial" w:hAnsi="Arial" w:cs="Arial"/>
        </w:rPr>
      </w:pPr>
      <w:r w:rsidRPr="001E2F96">
        <w:rPr>
          <w:rFonts w:ascii="Arial" w:hAnsi="Arial" w:cs="Arial"/>
        </w:rPr>
        <w:t xml:space="preserve">Значения </w:t>
      </w:r>
      <w:proofErr w:type="spellStart"/>
      <w:r w:rsidRPr="001E2F96">
        <w:rPr>
          <w:rFonts w:ascii="Arial" w:hAnsi="Arial" w:cs="Arial"/>
        </w:rPr>
        <w:t>Кзп</w:t>
      </w:r>
      <w:proofErr w:type="spellEnd"/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644"/>
      </w:tblGrid>
      <w:tr w:rsidR="001E2F96" w:rsidRPr="001E2F96">
        <w:tc>
          <w:tcPr>
            <w:tcW w:w="4706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Среднемесячный размер заработной платы одного работника организации (индивидуального предпринимателя)</w:t>
            </w:r>
          </w:p>
        </w:tc>
        <w:tc>
          <w:tcPr>
            <w:tcW w:w="164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 xml:space="preserve">Значение </w:t>
            </w:r>
            <w:proofErr w:type="spellStart"/>
            <w:r w:rsidRPr="001E2F96">
              <w:rPr>
                <w:rFonts w:ascii="Arial" w:hAnsi="Arial" w:cs="Arial"/>
              </w:rPr>
              <w:t>Кзп</w:t>
            </w:r>
            <w:proofErr w:type="spellEnd"/>
          </w:p>
        </w:tc>
      </w:tr>
      <w:tr w:rsidR="001E2F96" w:rsidRPr="001E2F96">
        <w:tc>
          <w:tcPr>
            <w:tcW w:w="4706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2</w:t>
            </w:r>
          </w:p>
        </w:tc>
      </w:tr>
      <w:tr w:rsidR="001E2F96" w:rsidRPr="001E2F96">
        <w:tc>
          <w:tcPr>
            <w:tcW w:w="4706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 xml:space="preserve">1. </w:t>
            </w:r>
            <w:proofErr w:type="gramStart"/>
            <w:r w:rsidRPr="001E2F96">
              <w:rPr>
                <w:rFonts w:ascii="Arial" w:hAnsi="Arial" w:cs="Arial"/>
              </w:rPr>
              <w:t>Равен</w:t>
            </w:r>
            <w:proofErr w:type="gramEnd"/>
            <w:r w:rsidRPr="001E2F96">
              <w:rPr>
                <w:rFonts w:ascii="Arial" w:hAnsi="Arial" w:cs="Arial"/>
              </w:rPr>
              <w:t xml:space="preserve"> или выше 12407 рублей</w:t>
            </w:r>
          </w:p>
        </w:tc>
        <w:tc>
          <w:tcPr>
            <w:tcW w:w="164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1.00</w:t>
            </w:r>
          </w:p>
        </w:tc>
      </w:tr>
      <w:tr w:rsidR="00191758" w:rsidRPr="001E2F96">
        <w:tc>
          <w:tcPr>
            <w:tcW w:w="4706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2. Ниже 12407 рублей</w:t>
            </w:r>
          </w:p>
        </w:tc>
        <w:tc>
          <w:tcPr>
            <w:tcW w:w="164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1.25</w:t>
            </w:r>
          </w:p>
        </w:tc>
      </w:tr>
    </w:tbl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>Среднемесячный размер заработной платы одного работника организации (индивидуального предпринимателя) определяется путем деления фонда оплаты труда работников организации (индивидуального предпринимателя) на среднесписочную численность организации (индивидуального предпринимателя).</w:t>
      </w: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1E2F96">
        <w:rPr>
          <w:rFonts w:ascii="Arial" w:hAnsi="Arial" w:cs="Arial"/>
        </w:rPr>
        <w:t xml:space="preserve">В качестве среднесписочной численности организации (индивидуального предпринимателя) используются данные, отражаемые в титульном листе в поле "Среднесписочная численность"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 </w:t>
      </w:r>
      <w:hyperlink r:id="rId9" w:history="1">
        <w:r w:rsidRPr="001E2F96">
          <w:rPr>
            <w:rFonts w:ascii="Arial" w:hAnsi="Arial" w:cs="Arial"/>
          </w:rPr>
          <w:t>(форма РСВ-1 ПФР)</w:t>
        </w:r>
      </w:hyperlink>
      <w:r w:rsidRPr="001E2F96">
        <w:rPr>
          <w:rFonts w:ascii="Arial" w:hAnsi="Arial" w:cs="Arial"/>
        </w:rPr>
        <w:t>.</w:t>
      </w:r>
      <w:proofErr w:type="gramEnd"/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1E2F96">
        <w:rPr>
          <w:rFonts w:ascii="Arial" w:hAnsi="Arial" w:cs="Arial"/>
        </w:rPr>
        <w:t xml:space="preserve">Размер фонда оплаты труда работников организации (индивидуального предпринимателя) принимается исходя из данных, отражаемых в </w:t>
      </w:r>
      <w:hyperlink r:id="rId10" w:history="1">
        <w:r w:rsidRPr="001E2F96">
          <w:rPr>
            <w:rFonts w:ascii="Arial" w:hAnsi="Arial" w:cs="Arial"/>
          </w:rPr>
          <w:t>строке 200</w:t>
        </w:r>
      </w:hyperlink>
      <w:r w:rsidRPr="001E2F96">
        <w:rPr>
          <w:rFonts w:ascii="Arial" w:hAnsi="Arial" w:cs="Arial"/>
        </w:rPr>
        <w:t xml:space="preserve"> "Сумма выплат и иных вознаграждений, начисленных в пользу физических лиц в соответствии со </w:t>
      </w:r>
      <w:hyperlink r:id="rId11" w:history="1">
        <w:r w:rsidRPr="001E2F96">
          <w:rPr>
            <w:rFonts w:ascii="Arial" w:hAnsi="Arial" w:cs="Arial"/>
          </w:rPr>
          <w:t>статьей 7</w:t>
        </w:r>
      </w:hyperlink>
      <w:r w:rsidRPr="001E2F96">
        <w:rPr>
          <w:rFonts w:ascii="Arial" w:hAnsi="Arial" w:cs="Arial"/>
        </w:rPr>
        <w:t xml:space="preserve"> Федерального закона от 24 июля 2009 года N 212-ФЗ и в соответствии с международными договорами" подраздела 2.1 раздела 2 "Расчет страховых взносов по тарифу" формы РСВ-1 ПФР.</w:t>
      </w:r>
      <w:proofErr w:type="gramEnd"/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 xml:space="preserve">(в ред. </w:t>
      </w:r>
      <w:hyperlink r:id="rId12" w:history="1">
        <w:r w:rsidRPr="001E2F96">
          <w:rPr>
            <w:rFonts w:ascii="Arial" w:hAnsi="Arial" w:cs="Arial"/>
          </w:rPr>
          <w:t>решения</w:t>
        </w:r>
      </w:hyperlink>
      <w:r w:rsidRPr="001E2F96">
        <w:rPr>
          <w:rFonts w:ascii="Arial" w:hAnsi="Arial" w:cs="Arial"/>
        </w:rPr>
        <w:t xml:space="preserve"> Вологодской городской Думы от 21.04.2016 N 772)</w:t>
      </w:r>
    </w:p>
    <w:p w:rsidR="00191758" w:rsidRPr="001E2F96" w:rsidRDefault="00191758">
      <w:pPr>
        <w:pStyle w:val="ConsPlusNormal"/>
        <w:ind w:firstLine="540"/>
        <w:jc w:val="both"/>
        <w:rPr>
          <w:rFonts w:ascii="Arial" w:hAnsi="Arial" w:cs="Arial"/>
        </w:rPr>
      </w:pPr>
      <w:r w:rsidRPr="001E2F96">
        <w:rPr>
          <w:rFonts w:ascii="Arial" w:hAnsi="Arial" w:cs="Arial"/>
        </w:rPr>
        <w:t xml:space="preserve">Для определения значения </w:t>
      </w:r>
      <w:proofErr w:type="spellStart"/>
      <w:r w:rsidRPr="001E2F96">
        <w:rPr>
          <w:rFonts w:ascii="Arial" w:hAnsi="Arial" w:cs="Arial"/>
        </w:rPr>
        <w:t>Кзп</w:t>
      </w:r>
      <w:proofErr w:type="spellEnd"/>
      <w:r w:rsidRPr="001E2F96">
        <w:rPr>
          <w:rFonts w:ascii="Arial" w:hAnsi="Arial" w:cs="Arial"/>
        </w:rPr>
        <w:t xml:space="preserve"> следует использовать сведения, отражаемые в </w:t>
      </w:r>
      <w:hyperlink r:id="rId13" w:history="1">
        <w:r w:rsidRPr="001E2F96">
          <w:rPr>
            <w:rFonts w:ascii="Arial" w:hAnsi="Arial" w:cs="Arial"/>
          </w:rPr>
          <w:t>форме РСВ-1 ПФР</w:t>
        </w:r>
      </w:hyperlink>
      <w:r w:rsidRPr="001E2F96">
        <w:rPr>
          <w:rFonts w:ascii="Arial" w:hAnsi="Arial" w:cs="Arial"/>
        </w:rPr>
        <w:t xml:space="preserve"> за период, соответствующий отчетному налоговому периоду по единому налогу на вмененный доход.</w:t>
      </w: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jc w:val="center"/>
        <w:outlineLvl w:val="1"/>
        <w:rPr>
          <w:rFonts w:ascii="Arial" w:hAnsi="Arial" w:cs="Arial"/>
        </w:rPr>
      </w:pPr>
      <w:r w:rsidRPr="001E2F96">
        <w:rPr>
          <w:rFonts w:ascii="Arial" w:hAnsi="Arial" w:cs="Arial"/>
        </w:rPr>
        <w:t>Значения Ка</w:t>
      </w: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644"/>
      </w:tblGrid>
      <w:tr w:rsidR="001E2F96" w:rsidRPr="001E2F96">
        <w:tc>
          <w:tcPr>
            <w:tcW w:w="4706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Вид предпринимательской деятельности</w:t>
            </w:r>
          </w:p>
        </w:tc>
        <w:tc>
          <w:tcPr>
            <w:tcW w:w="164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Значение Ка</w:t>
            </w:r>
          </w:p>
        </w:tc>
      </w:tr>
      <w:tr w:rsidR="001E2F96" w:rsidRPr="001E2F96">
        <w:tc>
          <w:tcPr>
            <w:tcW w:w="4706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2</w:t>
            </w:r>
          </w:p>
        </w:tc>
      </w:tr>
      <w:tr w:rsidR="001E2F96" w:rsidRPr="001E2F96">
        <w:tc>
          <w:tcPr>
            <w:tcW w:w="4706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644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E2F96" w:rsidRPr="001E2F96">
        <w:tc>
          <w:tcPr>
            <w:tcW w:w="4706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1. С реализацией алкогольной продукции</w:t>
            </w:r>
          </w:p>
        </w:tc>
        <w:tc>
          <w:tcPr>
            <w:tcW w:w="164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0.74</w:t>
            </w:r>
          </w:p>
        </w:tc>
      </w:tr>
      <w:tr w:rsidR="00191758" w:rsidRPr="001E2F96">
        <w:tc>
          <w:tcPr>
            <w:tcW w:w="4706" w:type="dxa"/>
          </w:tcPr>
          <w:p w:rsidR="00191758" w:rsidRPr="001E2F96" w:rsidRDefault="00191758">
            <w:pPr>
              <w:pStyle w:val="ConsPlusNormal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2. Без реализации алкогольной продукции</w:t>
            </w:r>
          </w:p>
        </w:tc>
        <w:tc>
          <w:tcPr>
            <w:tcW w:w="1644" w:type="dxa"/>
          </w:tcPr>
          <w:p w:rsidR="00191758" w:rsidRPr="001E2F96" w:rsidRDefault="00191758">
            <w:pPr>
              <w:pStyle w:val="ConsPlusNormal"/>
              <w:jc w:val="center"/>
              <w:rPr>
                <w:rFonts w:ascii="Arial" w:hAnsi="Arial" w:cs="Arial"/>
              </w:rPr>
            </w:pPr>
            <w:r w:rsidRPr="001E2F96">
              <w:rPr>
                <w:rFonts w:ascii="Arial" w:hAnsi="Arial" w:cs="Arial"/>
              </w:rPr>
              <w:t>0.20</w:t>
            </w:r>
          </w:p>
        </w:tc>
      </w:tr>
    </w:tbl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jc w:val="both"/>
        <w:rPr>
          <w:rFonts w:ascii="Arial" w:hAnsi="Arial" w:cs="Arial"/>
        </w:rPr>
      </w:pPr>
    </w:p>
    <w:p w:rsidR="00191758" w:rsidRPr="001E2F96" w:rsidRDefault="0019175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CD1529" w:rsidRPr="001E2F96" w:rsidRDefault="00CD1529">
      <w:pPr>
        <w:rPr>
          <w:rFonts w:ascii="Arial" w:hAnsi="Arial" w:cs="Arial"/>
        </w:rPr>
      </w:pPr>
    </w:p>
    <w:sectPr w:rsidR="00CD1529" w:rsidRPr="001E2F96" w:rsidSect="00717AF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58"/>
    <w:rsid w:val="00191758"/>
    <w:rsid w:val="001E2F96"/>
    <w:rsid w:val="004326F9"/>
    <w:rsid w:val="0043371A"/>
    <w:rsid w:val="005C784D"/>
    <w:rsid w:val="00C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BA2B1DA3F024278535B5E84D1B581458233C74D49BF534C8CFB20966xAH1F" TargetMode="External"/><Relationship Id="rId13" Type="http://schemas.openxmlformats.org/officeDocument/2006/relationships/hyperlink" Target="consultantplus://offline/ref=A2BA2B1DA3F024278535B5E84D1B5814582E3775D29AF534C8CFB20966A1C35AE345A7x1H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BA2B1DA3F024278535B5E84D1B58145B263C73D09BF534C8CFB20966A1C35AE345A71C0D3AxFHDF" TargetMode="External"/><Relationship Id="rId12" Type="http://schemas.openxmlformats.org/officeDocument/2006/relationships/hyperlink" Target="consultantplus://offline/ref=A2BA2B1DA3F024278535ABE55B7706105C2D6A7ED09CF86B9C99B45E39F1C50FA305A14B4A7BF26DABE34D3Cx5H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BA2B1DA3F024278535ABE55B7706105C2D6A7ED09CF86B9C99B45E39F1C50FA305A14B4A7BF26DABE34D3Cx5HDF" TargetMode="External"/><Relationship Id="rId11" Type="http://schemas.openxmlformats.org/officeDocument/2006/relationships/hyperlink" Target="consultantplus://offline/ref=A2BA2B1DA3F024278535B5E84D1B58145B263D72D19FF534C8CFB20966A1C35AE345A71E093FFF69xAH2F" TargetMode="External"/><Relationship Id="rId5" Type="http://schemas.openxmlformats.org/officeDocument/2006/relationships/hyperlink" Target="consultantplus://offline/ref=A2BA2B1DA3F024278535ABE55B7706105C2D6A7ED898FA6A9490E95431A8C90DA40AFE5C4D32FE6CABE34Dx3H4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2BA2B1DA3F024278535B5E84D1B5814582E3775D29AF534C8CFB20966A1C35AE345A71E0Bx3H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BA2B1DA3F024278535B5E84D1B5814582E3775D29AF534C8CFB20966A1C35AE345A7x1H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Анна Леонидовна</dc:creator>
  <cp:lastModifiedBy>Семенова Алёна Алексеевна</cp:lastModifiedBy>
  <cp:revision>4</cp:revision>
  <dcterms:created xsi:type="dcterms:W3CDTF">2017-03-03T07:47:00Z</dcterms:created>
  <dcterms:modified xsi:type="dcterms:W3CDTF">2017-03-03T07:47:00Z</dcterms:modified>
</cp:coreProperties>
</file>