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E" w:rsidRPr="008102BE" w:rsidRDefault="008102BE">
      <w:pPr>
        <w:pStyle w:val="ConsPlusNormal"/>
        <w:jc w:val="right"/>
        <w:outlineLvl w:val="0"/>
      </w:pPr>
      <w:bookmarkStart w:id="0" w:name="_GoBack"/>
      <w:bookmarkEnd w:id="0"/>
      <w:r w:rsidRPr="008102BE">
        <w:t>Приложение</w:t>
      </w:r>
    </w:p>
    <w:p w:rsidR="008102BE" w:rsidRPr="008102BE" w:rsidRDefault="008102BE">
      <w:pPr>
        <w:pStyle w:val="ConsPlusNormal"/>
        <w:jc w:val="right"/>
      </w:pPr>
      <w:r w:rsidRPr="008102BE">
        <w:t>к решению</w:t>
      </w:r>
    </w:p>
    <w:p w:rsidR="008102BE" w:rsidRPr="008102BE" w:rsidRDefault="008102BE">
      <w:pPr>
        <w:pStyle w:val="ConsPlusNormal"/>
        <w:jc w:val="right"/>
      </w:pPr>
      <w:r w:rsidRPr="008102BE">
        <w:t>городской Думы</w:t>
      </w:r>
    </w:p>
    <w:p w:rsidR="008102BE" w:rsidRPr="008102BE" w:rsidRDefault="008102BE">
      <w:pPr>
        <w:pStyle w:val="ConsPlusNormal"/>
        <w:jc w:val="right"/>
      </w:pPr>
      <w:r w:rsidRPr="008102BE">
        <w:t>городского округа Вичуга</w:t>
      </w:r>
    </w:p>
    <w:p w:rsidR="008102BE" w:rsidRPr="008102BE" w:rsidRDefault="008102BE">
      <w:pPr>
        <w:pStyle w:val="ConsPlusNormal"/>
        <w:jc w:val="right"/>
      </w:pPr>
      <w:r w:rsidRPr="008102BE">
        <w:t>от 30.03.2017 N 14</w:t>
      </w:r>
    </w:p>
    <w:p w:rsidR="008102BE" w:rsidRPr="008102BE" w:rsidRDefault="008102BE">
      <w:pPr>
        <w:pStyle w:val="ConsPlusNormal"/>
        <w:jc w:val="center"/>
      </w:pPr>
    </w:p>
    <w:p w:rsidR="008102BE" w:rsidRPr="008102BE" w:rsidRDefault="008102BE">
      <w:pPr>
        <w:pStyle w:val="ConsPlusTitle"/>
        <w:jc w:val="center"/>
      </w:pPr>
      <w:bookmarkStart w:id="1" w:name="P56"/>
      <w:bookmarkEnd w:id="1"/>
      <w:r w:rsidRPr="008102BE">
        <w:t>ПОЛОЖЕНИЕ</w:t>
      </w:r>
    </w:p>
    <w:p w:rsidR="008102BE" w:rsidRPr="008102BE" w:rsidRDefault="008102BE">
      <w:pPr>
        <w:pStyle w:val="ConsPlusTitle"/>
        <w:jc w:val="center"/>
      </w:pPr>
      <w:r w:rsidRPr="008102BE">
        <w:t>О ПОРЯДКЕ РАСЧЕТА КОРРЕКТИРУЮЩЕГО КОЭФФИЦИЕНТА</w:t>
      </w:r>
    </w:p>
    <w:p w:rsidR="008102BE" w:rsidRPr="008102BE" w:rsidRDefault="008102BE">
      <w:pPr>
        <w:pStyle w:val="ConsPlusTitle"/>
        <w:jc w:val="center"/>
      </w:pPr>
      <w:r w:rsidRPr="008102BE">
        <w:t>БАЗОВОЙ ДОХОДНОСТИ К</w:t>
      </w:r>
      <w:proofErr w:type="gramStart"/>
      <w:r w:rsidRPr="008102BE">
        <w:t>2</w:t>
      </w:r>
      <w:proofErr w:type="gramEnd"/>
    </w:p>
    <w:p w:rsidR="008102BE" w:rsidRPr="008102BE" w:rsidRDefault="00810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02BE" w:rsidRPr="00810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Список изменяющих документов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(в ред. Решения городской Думы городского округа Вичуга от 25.04.2019 N 24)</w:t>
            </w:r>
          </w:p>
        </w:tc>
      </w:tr>
    </w:tbl>
    <w:p w:rsidR="008102BE" w:rsidRPr="008102BE" w:rsidRDefault="008102BE">
      <w:pPr>
        <w:pStyle w:val="ConsPlusNormal"/>
        <w:jc w:val="center"/>
      </w:pPr>
    </w:p>
    <w:p w:rsidR="008102BE" w:rsidRPr="008102BE" w:rsidRDefault="008102BE">
      <w:pPr>
        <w:pStyle w:val="ConsPlusNormal"/>
        <w:ind w:firstLine="540"/>
        <w:jc w:val="both"/>
      </w:pPr>
      <w:proofErr w:type="gramStart"/>
      <w:r w:rsidRPr="008102BE">
        <w:t>Настоящее Положение принято в соответствии с главой 26.3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Федерации", в целях налогообложения отдельных видов деятельности в г. Вичуге Ивановской области и приведения нормативно-правовых актов органов местного самоуправления в соответствие федеральному законодательству о налогах и сборах.</w:t>
      </w:r>
      <w:proofErr w:type="gramEnd"/>
    </w:p>
    <w:p w:rsidR="008102BE" w:rsidRPr="008102BE" w:rsidRDefault="008102BE">
      <w:pPr>
        <w:pStyle w:val="ConsPlusNormal"/>
        <w:ind w:firstLine="540"/>
        <w:jc w:val="both"/>
      </w:pPr>
    </w:p>
    <w:p w:rsidR="008102BE" w:rsidRPr="008102BE" w:rsidRDefault="008102BE">
      <w:pPr>
        <w:pStyle w:val="ConsPlusTitle"/>
        <w:ind w:firstLine="540"/>
        <w:jc w:val="both"/>
        <w:outlineLvl w:val="1"/>
      </w:pPr>
      <w:r w:rsidRPr="008102BE">
        <w:t>Статья 1. Общие положения</w:t>
      </w:r>
    </w:p>
    <w:p w:rsidR="008102BE" w:rsidRPr="008102BE" w:rsidRDefault="008102BE">
      <w:pPr>
        <w:pStyle w:val="ConsPlusNormal"/>
        <w:ind w:firstLine="540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>Система налогообложения в виде единого налога на вмененный доход для отдельных видов деятельности (далее в настоящем Положении - единый налог) применяется в отношении следующих видов предпринимательской деятельности: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распоряжением Правительства Российской Федерации;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2) оказания ветеринарных услуг;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3) оказания услуг по ремонту, техническому обслуживанию и мойке автомототранспортных средств;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6) розничной торговли, осуществляемой через объекты стационарной торговой сети (магазины и павильоны) с площадью торгового зала не более 150 кв. м по каждому объекту организации торговли;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 xml:space="preserve">8) оказания услуг общественного питания через объекты организации общественного </w:t>
      </w:r>
      <w:r w:rsidRPr="008102BE">
        <w:lastRenderedPageBreak/>
        <w:t>питания, не имеющие залов обслуживания посетителей;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9) распространения наружной рекламы с использованием рекламных конструкций;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10) размещения рекламы с использованием внешних и внутренних поверхностей транспортных средств;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15)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м.</w:t>
      </w:r>
    </w:p>
    <w:p w:rsidR="008102BE" w:rsidRPr="008102BE" w:rsidRDefault="008102BE">
      <w:pPr>
        <w:pStyle w:val="ConsPlusNormal"/>
        <w:ind w:firstLine="540"/>
        <w:jc w:val="both"/>
      </w:pPr>
    </w:p>
    <w:p w:rsidR="008102BE" w:rsidRPr="008102BE" w:rsidRDefault="008102BE">
      <w:pPr>
        <w:pStyle w:val="ConsPlusTitle"/>
        <w:ind w:firstLine="540"/>
        <w:jc w:val="both"/>
        <w:outlineLvl w:val="1"/>
      </w:pPr>
      <w:r w:rsidRPr="008102BE">
        <w:t>Статья 2. Корректирующий коэффициент К</w:t>
      </w:r>
      <w:proofErr w:type="gramStart"/>
      <w:r w:rsidRPr="008102BE">
        <w:t>2</w:t>
      </w:r>
      <w:proofErr w:type="gramEnd"/>
    </w:p>
    <w:p w:rsidR="008102BE" w:rsidRPr="008102BE" w:rsidRDefault="008102BE">
      <w:pPr>
        <w:pStyle w:val="ConsPlusNormal"/>
        <w:ind w:firstLine="540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>Установить величину корректирующего коэффициента базовой доходности К</w:t>
      </w:r>
      <w:proofErr w:type="gramStart"/>
      <w:r w:rsidRPr="008102BE">
        <w:t>2</w:t>
      </w:r>
      <w:proofErr w:type="gramEnd"/>
      <w:r w:rsidRPr="008102BE">
        <w:t>, учитывающего совокупность особенностей ведения предпринимательской деятельности, в том числе ассортимент товаров (работ, услуг), особенности места ведения предпринимательской деятельности, площадь информационного поля печатной и (или) полиграфической наружной рекламы, период осуществления деятельности, режим работы и иные особенности в зависимости от величин следующих показателей (далее в настоящем Положении - П1, П2, П3, П4, П5, П6, П7):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а) рыночные условия (П</w:t>
      </w:r>
      <w:proofErr w:type="gramStart"/>
      <w:r w:rsidRPr="008102BE">
        <w:t>1</w:t>
      </w:r>
      <w:proofErr w:type="gramEnd"/>
      <w:r w:rsidRPr="008102BE">
        <w:t>):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оказание бытовых услуг - 0,55;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прочие виды осуществления предпринимательской деятельности - 0,57;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б) особенности места ведения предпринимательской деятельности (П</w:t>
      </w:r>
      <w:proofErr w:type="gramStart"/>
      <w:r w:rsidRPr="008102BE">
        <w:t>2</w:t>
      </w:r>
      <w:proofErr w:type="gramEnd"/>
      <w:r w:rsidRPr="008102BE">
        <w:t>):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центр города - 1,0: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proofErr w:type="gramStart"/>
      <w:r w:rsidRPr="008102BE">
        <w:t xml:space="preserve">ул. 50 лет Октября, ул. Б. Хмельницкого с начала до дома N 6 включительно, ул. Б. Пролетарская от дома N 14/12 до пересечения с ул. Торговой, ул. Торговая, пер. Широкий, ул. Маевка с начала до дома N 12 включительно, ул. Ульяновская от дома N 16/7 до дома N 26/5 включительно, пл. Генерала </w:t>
      </w:r>
      <w:proofErr w:type="spellStart"/>
      <w:r w:rsidRPr="008102BE">
        <w:t>Сандалова</w:t>
      </w:r>
      <w:proofErr w:type="spellEnd"/>
      <w:r w:rsidRPr="008102BE">
        <w:t xml:space="preserve"> (привокзальная);</w:t>
      </w:r>
      <w:proofErr w:type="gramEnd"/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lastRenderedPageBreak/>
        <w:t>- среднее кольцо города - 0,9: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proofErr w:type="gramStart"/>
      <w:r w:rsidRPr="008102BE">
        <w:t xml:space="preserve">все улицы, входящие в кольцо, очерченное улицами: ул. Центральная, ул. </w:t>
      </w:r>
      <w:proofErr w:type="spellStart"/>
      <w:r w:rsidRPr="008102BE">
        <w:t>Филиппенковская</w:t>
      </w:r>
      <w:proofErr w:type="spellEnd"/>
      <w:r w:rsidRPr="008102BE">
        <w:t xml:space="preserve">, ул. Ульяновская от д. 30, ул. Б. Хмельницкого до пересечения с ул. Ульяновской, ул. </w:t>
      </w:r>
      <w:proofErr w:type="spellStart"/>
      <w:r w:rsidRPr="008102BE">
        <w:t>Глуховская</w:t>
      </w:r>
      <w:proofErr w:type="spellEnd"/>
      <w:r w:rsidRPr="008102BE">
        <w:t xml:space="preserve"> до д. 21 включительно, пер. Пятницкого, ул. Ленинградская до пересечения с ул. Менделеева, а также улицы:</w:t>
      </w:r>
      <w:proofErr w:type="gramEnd"/>
      <w:r w:rsidRPr="008102BE">
        <w:t xml:space="preserve"> </w:t>
      </w:r>
      <w:proofErr w:type="gramStart"/>
      <w:r w:rsidRPr="008102BE">
        <w:t xml:space="preserve">Володарского, Металлистов, Литейная, Советская, Ленинская (до дома 12 включительно), Урицкого (до дома 20 включительно), Покровского, Ульяновская (до дома 12 включительно), Новая </w:t>
      </w:r>
      <w:proofErr w:type="spellStart"/>
      <w:r w:rsidRPr="008102BE">
        <w:t>Верховинская</w:t>
      </w:r>
      <w:proofErr w:type="spellEnd"/>
      <w:r w:rsidRPr="008102BE">
        <w:t>, 2-я Библиотечная, Б. Пролетарская (до дома 10/15), Н.П. Куликовой, Вокзальная;</w:t>
      </w:r>
      <w:proofErr w:type="gramEnd"/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окраинные районы города - 0,7.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Иные улицы, дома и строения, не входящие в центр и среднее кольцо города, относятся к окраинным районам города.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К границам, проходящим через улицы и переулки города, относятся все дома и строения четной и нечетной нумерации;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для индивидуальных предпринимателей и организаций, осуществляющих оказание автотранспортных услуг по перевозке пассажиров, распространение и (или) размещение рекламы с использованием внешних и внутренних поверхностей транспортных средств, П</w:t>
      </w:r>
      <w:proofErr w:type="gramStart"/>
      <w:r w:rsidRPr="008102BE">
        <w:t>2</w:t>
      </w:r>
      <w:proofErr w:type="gramEnd"/>
      <w:r w:rsidRPr="008102BE">
        <w:t xml:space="preserve"> равен 1;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в) вид осуществляемой деятельности (П3):</w:t>
      </w:r>
    </w:p>
    <w:p w:rsidR="008102BE" w:rsidRPr="008102BE" w:rsidRDefault="00810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1984"/>
        <w:gridCol w:w="2211"/>
      </w:tblGrid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center"/>
            </w:pPr>
            <w:bookmarkStart w:id="2" w:name="P100"/>
            <w:bookmarkEnd w:id="2"/>
            <w:r w:rsidRPr="008102BE">
              <w:t>Вид деятельности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Код по ОКВЭД 2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Показатель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bookmarkStart w:id="3" w:name="P103"/>
            <w:bookmarkEnd w:id="3"/>
            <w:r w:rsidRPr="008102BE">
              <w:t>1. Оказание бытовых услуг, в том числе: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и пошив обуви, услуги по чистке обуви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15.20.5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95.23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0,35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и пошив изделий из кожи и меха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14.11.2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14.20.2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0,45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и пошив одежды, ремонт, пошив и вязание трикотажных изделий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13.92.2; 13.99.4; 14.12.2; 14.13.3; 14.14.4; 14.19.5; 14.31.2; 14.39.2; 95.29.1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0,43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часов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95.25.1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ювелирных изделий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95.25.2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металлических изделий (</w:t>
            </w:r>
            <w:proofErr w:type="gramStart"/>
            <w:r w:rsidRPr="008102BE">
              <w:t>кроме</w:t>
            </w:r>
            <w:proofErr w:type="gramEnd"/>
            <w:r w:rsidRPr="008102BE">
              <w:t xml:space="preserve"> ювелирных)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95.29.41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95.29.42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Ремонт бытовых электрических изделий, радио-, телеаппаратуры, аудио- и видеоаппаратуры, прочих бытовых электрических приборов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95.21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95.22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95.22.1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Услуги фотоателье, фот</w:t>
            </w:r>
            <w:proofErr w:type="gramStart"/>
            <w:r w:rsidRPr="008102BE">
              <w:t>о-</w:t>
            </w:r>
            <w:proofErr w:type="gramEnd"/>
            <w:r w:rsidRPr="008102BE">
              <w:t>, кинолабораторий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74.20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0,41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Парикмахерские услуги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96.02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96.02.1</w:t>
            </w:r>
          </w:p>
          <w:p w:rsidR="008102BE" w:rsidRPr="008102BE" w:rsidRDefault="008102BE">
            <w:pPr>
              <w:pStyle w:val="ConsPlusNormal"/>
              <w:jc w:val="center"/>
            </w:pPr>
            <w:r w:rsidRPr="008102BE">
              <w:t>96.02.2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lastRenderedPageBreak/>
              <w:t>Банно-прачечные услуги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96.04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0,07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Услуги химчистки и крашения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96.01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0,27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Ритуальные услуги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96.03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0,97</w:t>
            </w:r>
          </w:p>
        </w:tc>
      </w:tr>
      <w:tr w:rsidR="008102BE" w:rsidRPr="008102BE"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Прокат предметов</w:t>
            </w:r>
          </w:p>
        </w:tc>
        <w:tc>
          <w:tcPr>
            <w:tcW w:w="1984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77.21; 77.22; 77.29; 77.29.1; 77.29.2; 77.29.3; 77.29.9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0,31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8102BE" w:rsidRPr="008102B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102BE" w:rsidRPr="008102BE" w:rsidRDefault="008102BE">
                  <w:pPr>
                    <w:pStyle w:val="ConsPlusNormal"/>
                    <w:jc w:val="both"/>
                  </w:pPr>
                  <w:proofErr w:type="spellStart"/>
                  <w:r w:rsidRPr="008102BE">
                    <w:t>КонсультантПлюс</w:t>
                  </w:r>
                  <w:proofErr w:type="spellEnd"/>
                  <w:r w:rsidRPr="008102BE">
                    <w:t>: примечание.</w:t>
                  </w:r>
                </w:p>
                <w:p w:rsidR="008102BE" w:rsidRPr="008102BE" w:rsidRDefault="008102BE">
                  <w:pPr>
                    <w:pStyle w:val="ConsPlusNormal"/>
                    <w:jc w:val="both"/>
                  </w:pPr>
                  <w:r w:rsidRPr="008102BE">
                    <w:t>В официальном тексте Решения городской Думы городского округа Вичуга от 25.04.2019 N 24, вносящего изменения в данный документ, видимо, допущена опечатка: имеется в виду код 95.29.9, а не 995.29.9.</w:t>
                  </w:r>
                </w:p>
              </w:tc>
            </w:tr>
          </w:tbl>
          <w:p w:rsidR="008102BE" w:rsidRPr="008102BE" w:rsidRDefault="008102BE"/>
        </w:tc>
      </w:tr>
      <w:tr w:rsidR="008102BE" w:rsidRPr="008102BE">
        <w:tblPrEx>
          <w:tblBorders>
            <w:insideH w:val="nil"/>
          </w:tblBorders>
        </w:tblPrEx>
        <w:tc>
          <w:tcPr>
            <w:tcW w:w="4875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Другие виды бытовых услуг</w:t>
            </w:r>
          </w:p>
        </w:tc>
        <w:tc>
          <w:tcPr>
            <w:tcW w:w="1984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01.61; 10.13.2; 10.31; 10.41; 10.61.2; 10.61.3; 13.10.9; 13.30.3; 16.24; 16.29.3; 18.14; 23.70.2; 25.50.1; 25.61; 25.62; 25.99.3; 31.02.2; 32.13.2; 32.12.6; 32.99; 33.12; 33.13; 33.15; 33.19; 38.32; 41.10; 41.20; 42.21; 43.21; 43.22; 43.29; 43.31; 49.32; 43.32.1; 43.32.2; 43.32.3; 43.33; 43.34; 43.34.1; 43.34.2; 43.39; 43.91; 43.99; 58.19; 74.10; 74.30; 77.31; 77.33; 77.33.1; 77.33.2; 81.21.1; 81.22; 81.29.1; 81.29.2; 81.29.9; 81.30; 82.19; 88.10; 88.91; 93.29.3; 93.29.9; 95.11; 95.12; 95.22.2; 95.24; 95.24.1; 95.24.2; 95.29; 95.29.2; 95.29.3; 95.29.5; 95.29.7; 995.29.9; 95.29.12; 95.29.13; 95.29.4; 95.29.43; 95.29.6; 96.09</w:t>
            </w:r>
          </w:p>
        </w:tc>
        <w:tc>
          <w:tcPr>
            <w:tcW w:w="2211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0,72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2. Оказание ветеринарных услуг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0,65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lastRenderedPageBreak/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0,83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0,63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5.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1,0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6.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0,27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0,48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0,39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9.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0,72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10.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0,71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6859" w:type="dxa"/>
            <w:gridSpan w:val="2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11.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</w:t>
            </w:r>
          </w:p>
          <w:p w:rsidR="008102BE" w:rsidRPr="008102BE" w:rsidRDefault="008102BE">
            <w:pPr>
              <w:pStyle w:val="ConsPlusNormal"/>
              <w:jc w:val="both"/>
            </w:pPr>
            <w:r w:rsidRPr="008102BE">
              <w:t>в том числе:</w:t>
            </w:r>
          </w:p>
        </w:tc>
        <w:tc>
          <w:tcPr>
            <w:tcW w:w="2211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6859" w:type="dxa"/>
            <w:gridSpan w:val="2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0,92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6859" w:type="dxa"/>
            <w:gridSpan w:val="2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 xml:space="preserve">- оказание услуг общественного питания без реализации алкогольной, </w:t>
            </w:r>
            <w:r w:rsidRPr="008102BE">
              <w:lastRenderedPageBreak/>
              <w:t>табачной продукции и пива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lastRenderedPageBreak/>
              <w:t>0,35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6859" w:type="dxa"/>
            <w:gridSpan w:val="2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lastRenderedPageBreak/>
              <w:t>- оказание услуг общественного питания в столовых учебных заведений, учреждений здравоохранения, детских дошкольных учреждений, пионерских лагерей, домов престарелых и инвалидов</w:t>
            </w:r>
          </w:p>
        </w:tc>
        <w:tc>
          <w:tcPr>
            <w:tcW w:w="2211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0,2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0,66</w:t>
            </w:r>
          </w:p>
        </w:tc>
      </w:tr>
      <w:tr w:rsidR="008102BE" w:rsidRPr="008102BE">
        <w:tc>
          <w:tcPr>
            <w:tcW w:w="6859" w:type="dxa"/>
            <w:gridSpan w:val="2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13. Иные виды осуществления предпринимательской деятельности</w:t>
            </w:r>
          </w:p>
        </w:tc>
        <w:tc>
          <w:tcPr>
            <w:tcW w:w="221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1,0</w:t>
            </w:r>
          </w:p>
        </w:tc>
      </w:tr>
    </w:tbl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 xml:space="preserve">Величина показателя П3 по виду деятельности "Бытовые услуги, указанные в </w:t>
      </w:r>
      <w:proofErr w:type="spellStart"/>
      <w:r w:rsidRPr="008102BE">
        <w:t>пп</w:t>
      </w:r>
      <w:proofErr w:type="spellEnd"/>
      <w:r w:rsidRPr="008102BE">
        <w:t>. 1 п. "в", оказываемые через объект службы быта, имеющий официальный статус социального объекта бытового обслуживания (коды ОКВЭД: 74.20; 95.23; 96.02; 96.02.1)" равен 0,2;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г) ассортимент розничной торговли (П</w:t>
      </w:r>
      <w:proofErr w:type="gramStart"/>
      <w:r w:rsidRPr="008102BE">
        <w:t>4</w:t>
      </w:r>
      <w:proofErr w:type="gramEnd"/>
      <w:r w:rsidRPr="008102BE">
        <w:t>):</w:t>
      </w:r>
    </w:p>
    <w:p w:rsidR="008102BE" w:rsidRPr="008102BE" w:rsidRDefault="008102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4875"/>
        <w:gridCol w:w="1417"/>
      </w:tblGrid>
      <w:tr w:rsidR="008102BE" w:rsidRPr="008102BE">
        <w:tc>
          <w:tcPr>
            <w:tcW w:w="277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Вид деятельности</w:t>
            </w:r>
          </w:p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Ассортимент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Показатель</w:t>
            </w:r>
          </w:p>
        </w:tc>
      </w:tr>
      <w:tr w:rsidR="008102BE" w:rsidRPr="008102BE">
        <w:tc>
          <w:tcPr>
            <w:tcW w:w="2777" w:type="dxa"/>
            <w:vMerge w:val="restart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1. Розничная торговля, осуществляемая через объекты стационарной торговой сети (магазины и павильоны), с площадью торгового зала не более 150 кв. м по каждому объекту организации торговли</w:t>
            </w:r>
          </w:p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0,85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0,8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Продовольственные товары, реализуемые через магазины, имеющие официальный статус социального магазина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0,2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Продовольственные товары, реализуемые через сеть магазинов в количестве не менее пяти, имеющих статус социального магазина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0,35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Промышленные товары (кроме автомобильных,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0,75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Книжная продукция (в том числе комиссионная торговля)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Товары детского ассортимента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0,6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 xml:space="preserve"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</w:t>
            </w:r>
            <w:r w:rsidRPr="008102BE">
              <w:lastRenderedPageBreak/>
              <w:t>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lastRenderedPageBreak/>
              <w:t>0,4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 xml:space="preserve">Торговля </w:t>
            </w:r>
            <w:proofErr w:type="spellStart"/>
            <w:r w:rsidRPr="008102BE">
              <w:t>зоотоварами</w:t>
            </w:r>
            <w:proofErr w:type="spellEnd"/>
            <w:r w:rsidRPr="008102BE">
              <w:t xml:space="preserve"> (птички, рыбки,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0,55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8102BE">
              <w:t>почвосмесь</w:t>
            </w:r>
            <w:proofErr w:type="spellEnd"/>
            <w:r w:rsidRPr="008102BE">
              <w:t>, торфяные горшочки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0,34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Торговля цветами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0,78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Иной ассортимент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0,85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Непродовольственные товары, реализуемые через магазины, имеющие официальный статус социального магазина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0,2</w:t>
            </w:r>
          </w:p>
        </w:tc>
      </w:tr>
      <w:tr w:rsidR="008102BE" w:rsidRPr="008102BE">
        <w:tc>
          <w:tcPr>
            <w:tcW w:w="2777" w:type="dxa"/>
            <w:vMerge/>
          </w:tcPr>
          <w:p w:rsidR="008102BE" w:rsidRPr="008102BE" w:rsidRDefault="008102BE"/>
        </w:tc>
        <w:tc>
          <w:tcPr>
            <w:tcW w:w="4875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Аптеки, имеющие официальный статус социальной аптеки</w:t>
            </w:r>
          </w:p>
        </w:tc>
        <w:tc>
          <w:tcPr>
            <w:tcW w:w="1417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0,1</w:t>
            </w:r>
          </w:p>
        </w:tc>
      </w:tr>
    </w:tbl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>д) площадь информационного поля печатной и (или) полиграфической наружной рекламы (П5):</w:t>
      </w:r>
    </w:p>
    <w:p w:rsidR="008102BE" w:rsidRPr="008102BE" w:rsidRDefault="008102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61"/>
      </w:tblGrid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площадью информационного поля до 18 кв. метров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0,08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площадью информационного поля свыше 18 кв. метров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0,09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Размещение рекламы на транспортных средствах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0,15</w:t>
            </w:r>
          </w:p>
        </w:tc>
      </w:tr>
    </w:tbl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>е) период осуществления деятельности (П</w:t>
      </w:r>
      <w:proofErr w:type="gramStart"/>
      <w:r w:rsidRPr="008102BE">
        <w:t>6</w:t>
      </w:r>
      <w:proofErr w:type="gramEnd"/>
      <w:r w:rsidRPr="008102BE">
        <w:t>):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показатель П</w:t>
      </w:r>
      <w:proofErr w:type="gramStart"/>
      <w:r w:rsidRPr="008102BE">
        <w:t>6</w:t>
      </w:r>
      <w:proofErr w:type="gramEnd"/>
      <w:r w:rsidRPr="008102BE">
        <w:t xml:space="preserve"> применяется для расчета налога на вмененный доход для впервые созданных юридических лиц и индивидуальных предпринимателей в течение двух лет с момента государственной регистрации.</w:t>
      </w:r>
    </w:p>
    <w:p w:rsidR="008102BE" w:rsidRPr="008102BE" w:rsidRDefault="00810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61"/>
      </w:tblGrid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Вид деятельности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Показатель П</w:t>
            </w:r>
            <w:proofErr w:type="gramStart"/>
            <w:r w:rsidRPr="008102BE">
              <w:t>6</w:t>
            </w:r>
            <w:proofErr w:type="gramEnd"/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1. Оказание бытовых услуг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lastRenderedPageBreak/>
              <w:t>2. Оказание ветеринарных услуг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3. Оказание услуг по ремонту, техническому обслуживанию и мойке автотранспортных средств:</w:t>
            </w:r>
          </w:p>
          <w:p w:rsidR="008102BE" w:rsidRPr="008102BE" w:rsidRDefault="008102BE">
            <w:pPr>
              <w:pStyle w:val="ConsPlusNormal"/>
              <w:jc w:val="both"/>
            </w:pPr>
            <w:r w:rsidRPr="008102BE">
              <w:t>в том числе:</w:t>
            </w:r>
          </w:p>
        </w:tc>
        <w:tc>
          <w:tcPr>
            <w:tcW w:w="1361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ремонт грузовых автомобилей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ремонт легковых автомобилей</w:t>
            </w:r>
          </w:p>
        </w:tc>
        <w:tc>
          <w:tcPr>
            <w:tcW w:w="1361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5.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6.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0,3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</w:t>
            </w:r>
          </w:p>
          <w:p w:rsidR="008102BE" w:rsidRPr="008102BE" w:rsidRDefault="008102BE">
            <w:pPr>
              <w:pStyle w:val="ConsPlusNormal"/>
              <w:jc w:val="both"/>
            </w:pPr>
            <w:r w:rsidRPr="008102BE">
              <w:t>в том числе:</w:t>
            </w:r>
          </w:p>
        </w:tc>
        <w:tc>
          <w:tcPr>
            <w:tcW w:w="1361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361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c>
          <w:tcPr>
            <w:tcW w:w="7710" w:type="dxa"/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8.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9. Иные виды осуществления предпринимательской деятельности:</w:t>
            </w:r>
          </w:p>
        </w:tc>
        <w:tc>
          <w:tcPr>
            <w:tcW w:w="1361" w:type="dxa"/>
            <w:tcBorders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юридические лица и индивидуальные предприниматели, имеющие наемных работников численностью не более 5 человек (включительно)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</w:t>
            </w:r>
          </w:p>
        </w:tc>
      </w:tr>
      <w:tr w:rsidR="008102BE" w:rsidRPr="008102BE">
        <w:tblPrEx>
          <w:tblBorders>
            <w:insideH w:val="nil"/>
          </w:tblBorders>
        </w:tblPrEx>
        <w:tc>
          <w:tcPr>
            <w:tcW w:w="7710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both"/>
            </w:pPr>
            <w:r w:rsidRPr="008102BE">
              <w:t>- юридические лица и индивидуальные предприниматели, имеющие наемных работников численностью более 5 человек</w:t>
            </w:r>
          </w:p>
        </w:tc>
        <w:tc>
          <w:tcPr>
            <w:tcW w:w="1361" w:type="dxa"/>
            <w:tcBorders>
              <w:top w:val="nil"/>
            </w:tcBorders>
          </w:tcPr>
          <w:p w:rsidR="008102BE" w:rsidRPr="008102BE" w:rsidRDefault="008102BE">
            <w:pPr>
              <w:pStyle w:val="ConsPlusNormal"/>
              <w:jc w:val="center"/>
            </w:pPr>
            <w:r w:rsidRPr="008102BE">
              <w:t>0,55</w:t>
            </w:r>
          </w:p>
        </w:tc>
      </w:tr>
    </w:tbl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ind w:firstLine="540"/>
        <w:jc w:val="both"/>
      </w:pPr>
      <w:r w:rsidRPr="008102BE">
        <w:t>ж) уровень выплачиваемой налогоплательщиком заработной платы - П</w:t>
      </w:r>
      <w:proofErr w:type="gramStart"/>
      <w:r w:rsidRPr="008102BE">
        <w:t>7</w:t>
      </w:r>
      <w:proofErr w:type="gramEnd"/>
      <w:r w:rsidRPr="008102BE">
        <w:t>: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П</w:t>
      </w:r>
      <w:proofErr w:type="gramStart"/>
      <w:r w:rsidRPr="008102BE">
        <w:t>7</w:t>
      </w:r>
      <w:proofErr w:type="gramEnd"/>
      <w:r w:rsidRPr="008102BE">
        <w:t xml:space="preserve"> = 1,0, если величина среднемесячной заработной платы на одного работника менее или равна 2 МРОТ (минимальный размер оплаты труда) или если индивидуальный предприниматель осуществляет деятельность самостоятельно, без заключения трудовых договоров;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П</w:t>
      </w:r>
      <w:proofErr w:type="gramStart"/>
      <w:r w:rsidRPr="008102BE">
        <w:t>7</w:t>
      </w:r>
      <w:proofErr w:type="gramEnd"/>
      <w:r w:rsidRPr="008102BE">
        <w:t xml:space="preserve"> = 0,8, если величина среднемесячной заработной платы на одного работника более 2 МРОТ.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proofErr w:type="gramStart"/>
      <w:r w:rsidRPr="008102BE">
        <w:lastRenderedPageBreak/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соответственно;</w:t>
      </w:r>
      <w:proofErr w:type="gramEnd"/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расчет корректирующего коэффициента К</w:t>
      </w:r>
      <w:proofErr w:type="gramStart"/>
      <w:r w:rsidRPr="008102BE">
        <w:t>2</w:t>
      </w:r>
      <w:proofErr w:type="gramEnd"/>
      <w:r w:rsidRPr="008102BE">
        <w:t xml:space="preserve"> определяется как произведение установленных соответствующих показателей П1, П2, П3, П4, П5, П6, П7;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в случае оказания нескольких видов бытовых услуг (П3) применяется максимальный из них показатель таблицы пункта в) части первой настоящей статьи;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при торговле смешанным ассортиментом товаров размер корректирующего коэффициента (П</w:t>
      </w:r>
      <w:proofErr w:type="gramStart"/>
      <w:r w:rsidRPr="008102BE">
        <w:t>4</w:t>
      </w:r>
      <w:proofErr w:type="gramEnd"/>
      <w:r w:rsidRPr="008102BE">
        <w:t>) исчисляется по тому виду, по которому установлено максимальное значение корректирующего коэффициента;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показатель П</w:t>
      </w:r>
      <w:proofErr w:type="gramStart"/>
      <w:r w:rsidRPr="008102BE">
        <w:t>6</w:t>
      </w:r>
      <w:proofErr w:type="gramEnd"/>
      <w:r w:rsidRPr="008102BE">
        <w:t xml:space="preserve"> применяется для расчета налога на вмененный доход для впервые созданных юридических лиц и индивидуальных предпринимателей в течение двух лет с момента государственной регистрации;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при значении корректирующего коэффициента К</w:t>
      </w:r>
      <w:proofErr w:type="gramStart"/>
      <w:r w:rsidRPr="008102BE">
        <w:t>2</w:t>
      </w:r>
      <w:proofErr w:type="gramEnd"/>
      <w:r w:rsidRPr="008102BE">
        <w:t xml:space="preserve"> менее 0,1 величина корректирующего коэффициента К2 определяется как 0,1;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при значении корректирующего коэффициента К</w:t>
      </w:r>
      <w:proofErr w:type="gramStart"/>
      <w:r w:rsidRPr="008102BE">
        <w:t>2</w:t>
      </w:r>
      <w:proofErr w:type="gramEnd"/>
      <w:r w:rsidRPr="008102BE">
        <w:t xml:space="preserve"> более 1,0 величина корректирующего коэффициента К2 определяется как 1,0;</w:t>
      </w:r>
    </w:p>
    <w:p w:rsidR="008102BE" w:rsidRPr="008102BE" w:rsidRDefault="008102BE">
      <w:pPr>
        <w:pStyle w:val="ConsPlusNormal"/>
        <w:spacing w:before="220"/>
        <w:ind w:firstLine="540"/>
        <w:jc w:val="both"/>
      </w:pPr>
      <w:r w:rsidRPr="008102BE">
        <w:t>- установить, что 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8102BE">
        <w:t>2</w:t>
      </w:r>
      <w:proofErr w:type="gramEnd"/>
      <w:r w:rsidRPr="008102BE">
        <w:t xml:space="preserve"> подлежат изменению с соблюдением норм Налогового кодекса Российской Федерации.</w:t>
      </w:r>
    </w:p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jc w:val="both"/>
      </w:pPr>
    </w:p>
    <w:p w:rsidR="008102BE" w:rsidRPr="008102BE" w:rsidRDefault="00810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26D" w:rsidRPr="008102BE" w:rsidRDefault="009B526D"/>
    <w:sectPr w:rsidR="009B526D" w:rsidRPr="008102BE" w:rsidSect="008B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BE"/>
    <w:rsid w:val="008102BE"/>
    <w:rsid w:val="009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2019-07-25T16:11:00Z</dcterms:created>
  <dcterms:modified xsi:type="dcterms:W3CDTF">2019-07-25T16:16:00Z</dcterms:modified>
</cp:coreProperties>
</file>