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75"/>
        <w:tblW w:w="0" w:type="auto"/>
        <w:tblInd w:w="0" w:type="dxa"/>
        <w:tblLook w:val="01E0"/>
      </w:tblPr>
      <w:tblGrid>
        <w:gridCol w:w="2716"/>
        <w:gridCol w:w="6855"/>
      </w:tblGrid>
      <w:tr w:rsidR="00497691" w:rsidRPr="00394076" w:rsidTr="00497691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1" w:rsidRPr="00394076" w:rsidRDefault="00497691" w:rsidP="00497691">
            <w:r w:rsidRPr="00394076">
              <w:t xml:space="preserve">       Дата, время  и место проведения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1" w:rsidRPr="00394076" w:rsidRDefault="00497691" w:rsidP="00497691">
            <w:pPr>
              <w:tabs>
                <w:tab w:val="left" w:pos="8297"/>
              </w:tabs>
            </w:pPr>
            <w:r w:rsidRPr="00394076">
              <w:t xml:space="preserve">                                                  Тема семинара   </w:t>
            </w:r>
          </w:p>
        </w:tc>
      </w:tr>
      <w:tr w:rsidR="00497691" w:rsidRPr="00394076" w:rsidTr="00497691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1" w:rsidRDefault="00497691" w:rsidP="00497691">
            <w:pPr>
              <w:jc w:val="center"/>
              <w:rPr>
                <w:u w:val="single"/>
              </w:rPr>
            </w:pPr>
          </w:p>
          <w:p w:rsidR="00497691" w:rsidRPr="006005F3" w:rsidRDefault="00497691" w:rsidP="00497691">
            <w:pPr>
              <w:jc w:val="center"/>
            </w:pPr>
            <w:r w:rsidRPr="006005F3">
              <w:t xml:space="preserve">19.10.2015 г.  </w:t>
            </w:r>
          </w:p>
          <w:p w:rsidR="00497691" w:rsidRPr="00394076" w:rsidRDefault="00497691" w:rsidP="00497691">
            <w:pPr>
              <w:jc w:val="center"/>
            </w:pPr>
            <w:r w:rsidRPr="00394076">
              <w:t>в здании</w:t>
            </w:r>
          </w:p>
          <w:p w:rsidR="00497691" w:rsidRPr="00394076" w:rsidRDefault="00497691" w:rsidP="00497691">
            <w:pPr>
              <w:jc w:val="center"/>
            </w:pPr>
            <w:r w:rsidRPr="00394076">
              <w:t>Инспекции</w:t>
            </w:r>
          </w:p>
          <w:p w:rsidR="00497691" w:rsidRPr="00394076" w:rsidRDefault="00497691" w:rsidP="00497691">
            <w:pPr>
              <w:jc w:val="center"/>
            </w:pPr>
            <w:r w:rsidRPr="00394076">
              <w:t xml:space="preserve"> в 10-00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1" w:rsidRPr="00394076" w:rsidRDefault="00497691" w:rsidP="00497691">
            <w:r w:rsidRPr="00394076">
              <w:t xml:space="preserve">1. </w:t>
            </w:r>
            <w:r>
              <w:t>Порядок заполнения налоговых деклараций</w:t>
            </w:r>
            <w:r w:rsidRPr="00394076">
              <w:t>.</w:t>
            </w:r>
          </w:p>
          <w:p w:rsidR="00497691" w:rsidRPr="00394076" w:rsidRDefault="00497691" w:rsidP="00497691">
            <w:r w:rsidRPr="00394076">
              <w:t xml:space="preserve">2.Использование </w:t>
            </w:r>
            <w:proofErr w:type="spellStart"/>
            <w:r w:rsidRPr="00394076">
              <w:t>машиноориентированных</w:t>
            </w:r>
            <w:proofErr w:type="spellEnd"/>
            <w:r w:rsidRPr="00394076">
              <w:t xml:space="preserve"> бланков отчетности с </w:t>
            </w:r>
            <w:proofErr w:type="gramStart"/>
            <w:r w:rsidRPr="00394076">
              <w:t>двухмерным</w:t>
            </w:r>
            <w:proofErr w:type="gramEnd"/>
            <w:r w:rsidRPr="00394076">
              <w:t xml:space="preserve"> </w:t>
            </w:r>
            <w:proofErr w:type="spellStart"/>
            <w:r w:rsidRPr="00394076">
              <w:t>штрих-кодом</w:t>
            </w:r>
            <w:proofErr w:type="spellEnd"/>
            <w:r w:rsidRPr="00394076">
              <w:t>.</w:t>
            </w:r>
          </w:p>
          <w:p w:rsidR="00497691" w:rsidRPr="00394076" w:rsidRDefault="00497691" w:rsidP="00497691">
            <w:r w:rsidRPr="00394076">
              <w:t xml:space="preserve">3. Передача налоговой и бухгалтерской отчетности по телекоммуникационным каналам связи.  </w:t>
            </w:r>
          </w:p>
        </w:tc>
      </w:tr>
      <w:tr w:rsidR="00497691" w:rsidRPr="00394076" w:rsidTr="00497691">
        <w:trPr>
          <w:trHeight w:val="2597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1" w:rsidRPr="00394076" w:rsidRDefault="00497691" w:rsidP="00497691">
            <w:pPr>
              <w:jc w:val="center"/>
            </w:pPr>
          </w:p>
          <w:p w:rsidR="00497691" w:rsidRPr="006005F3" w:rsidRDefault="00497691" w:rsidP="00497691">
            <w:pPr>
              <w:jc w:val="center"/>
            </w:pPr>
            <w:r w:rsidRPr="006005F3">
              <w:t>07.12.2015</w:t>
            </w:r>
          </w:p>
          <w:p w:rsidR="00497691" w:rsidRPr="00394076" w:rsidRDefault="00497691" w:rsidP="00497691">
            <w:pPr>
              <w:jc w:val="center"/>
            </w:pPr>
            <w:r w:rsidRPr="00394076">
              <w:t>в 10-00</w:t>
            </w:r>
          </w:p>
          <w:p w:rsidR="00497691" w:rsidRDefault="00497691" w:rsidP="00497691">
            <w:pPr>
              <w:jc w:val="center"/>
            </w:pPr>
            <w:r w:rsidRPr="00394076">
              <w:t xml:space="preserve">Актовый зал Администрации </w:t>
            </w:r>
            <w:proofErr w:type="spellStart"/>
            <w:r>
              <w:t>Фурмановского</w:t>
            </w:r>
            <w:proofErr w:type="spellEnd"/>
            <w:r>
              <w:t xml:space="preserve"> района</w:t>
            </w:r>
          </w:p>
          <w:p w:rsidR="00497691" w:rsidRPr="00394076" w:rsidRDefault="00497691" w:rsidP="00497691">
            <w:pPr>
              <w:jc w:val="center"/>
            </w:pP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1" w:rsidRPr="00394076" w:rsidRDefault="00497691" w:rsidP="00497691"/>
          <w:p w:rsidR="00497691" w:rsidRDefault="00497691" w:rsidP="00497691">
            <w:r w:rsidRPr="00394076">
              <w:t xml:space="preserve">1. </w:t>
            </w:r>
            <w:r>
              <w:t>Основные и</w:t>
            </w:r>
            <w:r w:rsidRPr="00394076">
              <w:t xml:space="preserve">зменения в налоговом законодательстве, вступающие в силу  </w:t>
            </w:r>
            <w:r>
              <w:t xml:space="preserve">в </w:t>
            </w:r>
            <w:r w:rsidRPr="00394076">
              <w:t>201</w:t>
            </w:r>
            <w:r>
              <w:t>5</w:t>
            </w:r>
            <w:r w:rsidRPr="00394076">
              <w:t xml:space="preserve"> год</w:t>
            </w:r>
            <w:r>
              <w:t>у и с 2016 года</w:t>
            </w:r>
            <w:r w:rsidRPr="00394076">
              <w:t xml:space="preserve">. </w:t>
            </w:r>
          </w:p>
          <w:p w:rsidR="00497691" w:rsidRPr="00394076" w:rsidRDefault="00497691" w:rsidP="00497691">
            <w:r w:rsidRPr="00394076">
              <w:t xml:space="preserve">2. </w:t>
            </w:r>
            <w:r w:rsidRPr="002A11FF">
              <w:rPr>
                <w:sz w:val="26"/>
                <w:szCs w:val="26"/>
              </w:rPr>
              <w:t>Порядок заполнения платежных документов. Разбор ошибок допускаемых при их заполнении. Невыясненные платежи</w:t>
            </w:r>
            <w:r>
              <w:rPr>
                <w:sz w:val="26"/>
                <w:szCs w:val="26"/>
              </w:rPr>
              <w:t>.</w:t>
            </w:r>
          </w:p>
          <w:p w:rsidR="00497691" w:rsidRDefault="00497691" w:rsidP="00497691">
            <w:r w:rsidRPr="00394076">
              <w:t xml:space="preserve">3. </w:t>
            </w:r>
            <w:r>
              <w:t>Об изменении условий предоставления сведений из ЕГРЮЛ/ЕГРИП.</w:t>
            </w:r>
          </w:p>
          <w:p w:rsidR="00497691" w:rsidRDefault="00497691" w:rsidP="00497691">
            <w:r>
              <w:t xml:space="preserve">4. </w:t>
            </w:r>
            <w:proofErr w:type="spellStart"/>
            <w:proofErr w:type="gramStart"/>
            <w:r w:rsidRPr="00394076">
              <w:t>Ин</w:t>
            </w:r>
            <w:r>
              <w:t>тернет-сервисы</w:t>
            </w:r>
            <w:proofErr w:type="spellEnd"/>
            <w:proofErr w:type="gramEnd"/>
            <w:r>
              <w:t xml:space="preserve"> налоговой службы.</w:t>
            </w:r>
            <w:r w:rsidRPr="00394076">
              <w:t xml:space="preserve">   </w:t>
            </w:r>
          </w:p>
          <w:p w:rsidR="00497691" w:rsidRPr="00394076" w:rsidRDefault="00497691" w:rsidP="00497691">
            <w:r>
              <w:t xml:space="preserve">5. О добровольном декларировании физическими лицами активов и </w:t>
            </w:r>
            <w:proofErr w:type="spellStart"/>
            <w:r>
              <w:t>счето</w:t>
            </w:r>
            <w:proofErr w:type="spellEnd"/>
            <w:r>
              <w:t xml:space="preserve"> (вкладов) в банках</w:t>
            </w:r>
            <w:r w:rsidRPr="00394076">
              <w:t>.</w:t>
            </w:r>
          </w:p>
        </w:tc>
      </w:tr>
      <w:tr w:rsidR="00497691" w:rsidRPr="00394076" w:rsidTr="00497691">
        <w:trPr>
          <w:trHeight w:val="2296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1" w:rsidRDefault="00497691" w:rsidP="00497691">
            <w:pPr>
              <w:jc w:val="center"/>
            </w:pPr>
          </w:p>
          <w:p w:rsidR="00497691" w:rsidRPr="006005F3" w:rsidRDefault="00497691" w:rsidP="00497691">
            <w:pPr>
              <w:jc w:val="center"/>
            </w:pPr>
            <w:r w:rsidRPr="006005F3">
              <w:t>08.12.2015</w:t>
            </w:r>
          </w:p>
          <w:p w:rsidR="00497691" w:rsidRPr="00394076" w:rsidRDefault="00497691" w:rsidP="00497691">
            <w:pPr>
              <w:jc w:val="center"/>
            </w:pPr>
            <w:r w:rsidRPr="00394076">
              <w:t>в 10-00</w:t>
            </w:r>
          </w:p>
          <w:p w:rsidR="00497691" w:rsidRDefault="00497691" w:rsidP="00497691">
            <w:pPr>
              <w:jc w:val="center"/>
            </w:pPr>
            <w:r w:rsidRPr="00394076">
              <w:t xml:space="preserve">Актовый зал Администрации </w:t>
            </w:r>
          </w:p>
          <w:p w:rsidR="00497691" w:rsidRPr="00394076" w:rsidRDefault="00497691" w:rsidP="00497691">
            <w:pPr>
              <w:jc w:val="center"/>
            </w:pPr>
            <w:r w:rsidRPr="00394076">
              <w:t xml:space="preserve">Приволжского района </w:t>
            </w:r>
          </w:p>
          <w:p w:rsidR="00497691" w:rsidRPr="00394076" w:rsidRDefault="00497691" w:rsidP="00497691">
            <w:pPr>
              <w:jc w:val="center"/>
            </w:pP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1" w:rsidRDefault="00497691" w:rsidP="00497691">
            <w:r w:rsidRPr="00394076">
              <w:t xml:space="preserve">1. </w:t>
            </w:r>
            <w:r>
              <w:t>Основные и</w:t>
            </w:r>
            <w:r w:rsidRPr="00394076">
              <w:t xml:space="preserve">зменения в налоговом законодательстве, вступающие в силу  </w:t>
            </w:r>
            <w:r>
              <w:t xml:space="preserve">в </w:t>
            </w:r>
            <w:r w:rsidRPr="00394076">
              <w:t>201</w:t>
            </w:r>
            <w:r>
              <w:t>5</w:t>
            </w:r>
            <w:r w:rsidRPr="00394076">
              <w:t xml:space="preserve"> год</w:t>
            </w:r>
            <w:r>
              <w:t>у и с 2016 года</w:t>
            </w:r>
            <w:r w:rsidRPr="00394076">
              <w:t xml:space="preserve">. </w:t>
            </w:r>
          </w:p>
          <w:p w:rsidR="00497691" w:rsidRPr="00394076" w:rsidRDefault="00497691" w:rsidP="00497691">
            <w:r w:rsidRPr="00394076">
              <w:t xml:space="preserve">2. </w:t>
            </w:r>
            <w:r w:rsidRPr="002A11FF">
              <w:rPr>
                <w:sz w:val="26"/>
                <w:szCs w:val="26"/>
              </w:rPr>
              <w:t>Порядок заполнения платежных документов. Разбор ошибок допускаемых при их заполнении. Невыясненные платежи</w:t>
            </w:r>
            <w:r>
              <w:rPr>
                <w:sz w:val="26"/>
                <w:szCs w:val="26"/>
              </w:rPr>
              <w:t>.</w:t>
            </w:r>
          </w:p>
          <w:p w:rsidR="00497691" w:rsidRDefault="00497691" w:rsidP="00497691">
            <w:r w:rsidRPr="00394076">
              <w:t xml:space="preserve">3. </w:t>
            </w:r>
            <w:r>
              <w:t>Об изменении условий предоставления сведений из ЕГРЮЛ/ЕГРИП.</w:t>
            </w:r>
          </w:p>
          <w:p w:rsidR="00497691" w:rsidRDefault="00497691" w:rsidP="00497691">
            <w:r>
              <w:t xml:space="preserve">4. </w:t>
            </w:r>
            <w:proofErr w:type="spellStart"/>
            <w:proofErr w:type="gramStart"/>
            <w:r w:rsidRPr="00394076">
              <w:t>Ин</w:t>
            </w:r>
            <w:r>
              <w:t>тернет-сервисы</w:t>
            </w:r>
            <w:proofErr w:type="spellEnd"/>
            <w:proofErr w:type="gramEnd"/>
            <w:r>
              <w:t xml:space="preserve"> налоговой службы.</w:t>
            </w:r>
            <w:r w:rsidRPr="00394076">
              <w:t xml:space="preserve">   </w:t>
            </w:r>
          </w:p>
          <w:p w:rsidR="00497691" w:rsidRPr="00394076" w:rsidRDefault="00497691" w:rsidP="00497691">
            <w:r>
              <w:t>5. О добровольном декларировании физическими лицами активов и счетов (вкладов) в банках</w:t>
            </w:r>
            <w:r w:rsidRPr="00394076">
              <w:t>.</w:t>
            </w:r>
          </w:p>
        </w:tc>
      </w:tr>
    </w:tbl>
    <w:p w:rsidR="00497691" w:rsidRPr="00762851" w:rsidRDefault="00497691" w:rsidP="00497691">
      <w:pPr>
        <w:pStyle w:val="5"/>
        <w:jc w:val="center"/>
        <w:rPr>
          <w:b/>
          <w:sz w:val="26"/>
          <w:szCs w:val="26"/>
        </w:rPr>
      </w:pPr>
      <w:bookmarkStart w:id="0" w:name="pr02"/>
      <w:r w:rsidRPr="00762851">
        <w:rPr>
          <w:b/>
          <w:sz w:val="26"/>
          <w:szCs w:val="26"/>
        </w:rPr>
        <w:t xml:space="preserve">График проведения </w:t>
      </w:r>
      <w:r>
        <w:rPr>
          <w:b/>
          <w:sz w:val="26"/>
          <w:szCs w:val="26"/>
        </w:rPr>
        <w:t>Межрайонной ИФНС России №</w:t>
      </w:r>
      <w:r w:rsidRPr="00497691">
        <w:rPr>
          <w:b/>
          <w:sz w:val="26"/>
          <w:szCs w:val="26"/>
        </w:rPr>
        <w:t>4</w:t>
      </w:r>
      <w:r w:rsidRPr="00762851">
        <w:rPr>
          <w:b/>
          <w:sz w:val="26"/>
          <w:szCs w:val="26"/>
        </w:rPr>
        <w:t xml:space="preserve"> по Ивановской области семинаров для налогоплательщиков в 4 квартале 2015 года </w:t>
      </w:r>
    </w:p>
    <w:p w:rsidR="00497691" w:rsidRPr="00D21CE2" w:rsidRDefault="00497691" w:rsidP="00497691"/>
    <w:bookmarkEnd w:id="0"/>
    <w:p w:rsidR="00FE14DB" w:rsidRDefault="00FE14DB"/>
    <w:sectPr w:rsidR="00FE14DB" w:rsidSect="00FE1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497691"/>
    <w:rsid w:val="00497691"/>
    <w:rsid w:val="00FE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9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497691"/>
    <w:pPr>
      <w:keepNext/>
      <w:ind w:right="567"/>
      <w:jc w:val="right"/>
      <w:outlineLvl w:val="4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769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4976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 Знак1"/>
    <w:basedOn w:val="a"/>
    <w:autoRedefine/>
    <w:rsid w:val="00497691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>ufns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3700-01-772</dc:creator>
  <cp:keywords/>
  <dc:description/>
  <cp:lastModifiedBy>3700-01-772</cp:lastModifiedBy>
  <cp:revision>1</cp:revision>
  <dcterms:created xsi:type="dcterms:W3CDTF">2015-10-02T13:37:00Z</dcterms:created>
  <dcterms:modified xsi:type="dcterms:W3CDTF">2015-10-02T13:38:00Z</dcterms:modified>
</cp:coreProperties>
</file>