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61" w:type="pct"/>
        <w:tblInd w:w="140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98"/>
        <w:gridCol w:w="213"/>
        <w:gridCol w:w="2151"/>
        <w:gridCol w:w="213"/>
        <w:gridCol w:w="2592"/>
        <w:gridCol w:w="3394"/>
        <w:gridCol w:w="21"/>
        <w:gridCol w:w="21"/>
        <w:gridCol w:w="64"/>
      </w:tblGrid>
      <w:tr w:rsidR="004F1449" w:rsidRPr="004F1449" w:rsidTr="00737B59">
        <w:tc>
          <w:tcPr>
            <w:tcW w:w="3474" w:type="pct"/>
            <w:gridSpan w:val="5"/>
            <w:vAlign w:val="center"/>
            <w:hideMark/>
          </w:tcPr>
          <w:p w:rsidR="004F1449" w:rsidRPr="004F144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148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8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4F1449" w:rsidRPr="004F1449" w:rsidTr="00737B59">
        <w:tc>
          <w:tcPr>
            <w:tcW w:w="122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93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Пучков А. А. </w:t>
            </w:r>
          </w:p>
        </w:tc>
        <w:tc>
          <w:tcPr>
            <w:tcW w:w="148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449" w:rsidRPr="004F1449" w:rsidTr="00737B59">
        <w:tc>
          <w:tcPr>
            <w:tcW w:w="122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93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93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13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148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449" w:rsidRPr="004F1449" w:rsidTr="00737B59">
        <w:tc>
          <w:tcPr>
            <w:tcW w:w="122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93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449" w:rsidRPr="004F1449" w:rsidRDefault="004F1449" w:rsidP="004F144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88"/>
        <w:gridCol w:w="644"/>
        <w:gridCol w:w="213"/>
        <w:gridCol w:w="644"/>
        <w:gridCol w:w="213"/>
        <w:gridCol w:w="645"/>
        <w:gridCol w:w="230"/>
        <w:gridCol w:w="2369"/>
      </w:tblGrid>
      <w:tr w:rsidR="004F1449" w:rsidRPr="004F1449" w:rsidTr="004F1449">
        <w:tc>
          <w:tcPr>
            <w:tcW w:w="3850" w:type="pct"/>
            <w:vMerge w:val="restar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«03» </w:t>
            </w:r>
          </w:p>
        </w:tc>
        <w:tc>
          <w:tcPr>
            <w:tcW w:w="5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4F1449" w:rsidRPr="004F1449" w:rsidTr="004F1449">
        <w:tc>
          <w:tcPr>
            <w:tcW w:w="0" w:type="auto"/>
            <w:vMerge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449" w:rsidRPr="004F1449" w:rsidTr="004F1449">
        <w:tc>
          <w:tcPr>
            <w:tcW w:w="0" w:type="auto"/>
            <w:vMerge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14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4F1449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449" w:rsidRPr="004F1449" w:rsidRDefault="004F1449" w:rsidP="004F144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89"/>
        <w:gridCol w:w="6719"/>
        <w:gridCol w:w="1077"/>
        <w:gridCol w:w="961"/>
      </w:tblGrid>
      <w:tr w:rsidR="004F1449" w:rsidRPr="004F1449" w:rsidTr="004F1449">
        <w:tc>
          <w:tcPr>
            <w:tcW w:w="0" w:type="auto"/>
            <w:gridSpan w:val="4"/>
            <w:vAlign w:val="center"/>
            <w:hideMark/>
          </w:tcPr>
          <w:p w:rsidR="004F1449" w:rsidRPr="00737B59" w:rsidRDefault="004F1449" w:rsidP="00737B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закупок товаров, работ, услуг для обеспечения федеральных нужд на 20 </w:t>
            </w:r>
            <w:r w:rsidRPr="00737B59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18</w:t>
            </w:r>
            <w:r w:rsidRPr="00737B5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 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03.07.2018</w:t>
            </w:r>
          </w:p>
        </w:tc>
      </w:tr>
      <w:tr w:rsidR="004F1449" w:rsidRPr="00737B59" w:rsidTr="004F1449">
        <w:tc>
          <w:tcPr>
            <w:tcW w:w="0" w:type="auto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0" w:type="auto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22810587 </w:t>
            </w:r>
          </w:p>
        </w:tc>
      </w:tr>
      <w:tr w:rsidR="004F1449" w:rsidRPr="00737B59" w:rsidTr="004F1449"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3728012600</w:t>
            </w:r>
          </w:p>
        </w:tc>
      </w:tr>
      <w:tr w:rsidR="004F1449" w:rsidRPr="00737B59" w:rsidTr="004F1449"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370201001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Федеральные государственные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75104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24701000001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Иваново г, УЛ ПОЧТОВАЯ, 24 , 7-4932-314905 , u37@r37.nalog.ru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1449" w:rsidRPr="00737B59" w:rsidTr="004F1449">
        <w:tc>
          <w:tcPr>
            <w:tcW w:w="0" w:type="auto"/>
            <w:vMerge w:val="restart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 (9)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1449" w:rsidRPr="00737B59" w:rsidTr="004F1449">
        <w:tc>
          <w:tcPr>
            <w:tcW w:w="0" w:type="auto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03.07.2018</w:t>
            </w:r>
          </w:p>
        </w:tc>
      </w:tr>
      <w:tr w:rsidR="004F1449" w:rsidRPr="00737B59" w:rsidTr="004F1449"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4F1449" w:rsidRPr="00737B59" w:rsidTr="004F1449">
        <w:tc>
          <w:tcPr>
            <w:tcW w:w="0" w:type="auto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</w:t>
            </w:r>
            <w:r w:rsidRPr="00737B5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37B5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37B5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)</w:t>
            </w: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8809568.00</w:t>
            </w:r>
          </w:p>
        </w:tc>
      </w:tr>
    </w:tbl>
    <w:p w:rsidR="004F1449" w:rsidRPr="004F1449" w:rsidRDefault="004F1449" w:rsidP="004F144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"/>
        <w:gridCol w:w="962"/>
        <w:gridCol w:w="809"/>
        <w:gridCol w:w="2459"/>
        <w:gridCol w:w="798"/>
        <w:gridCol w:w="359"/>
        <w:gridCol w:w="851"/>
        <w:gridCol w:w="708"/>
        <w:gridCol w:w="710"/>
        <w:gridCol w:w="323"/>
        <w:gridCol w:w="388"/>
        <w:gridCol w:w="708"/>
        <w:gridCol w:w="256"/>
        <w:gridCol w:w="254"/>
        <w:gridCol w:w="585"/>
        <w:gridCol w:w="466"/>
        <w:gridCol w:w="323"/>
        <w:gridCol w:w="207"/>
        <w:gridCol w:w="178"/>
        <w:gridCol w:w="842"/>
        <w:gridCol w:w="292"/>
        <w:gridCol w:w="567"/>
        <w:gridCol w:w="709"/>
        <w:gridCol w:w="567"/>
        <w:gridCol w:w="547"/>
        <w:gridCol w:w="871"/>
        <w:gridCol w:w="531"/>
        <w:gridCol w:w="211"/>
        <w:gridCol w:w="536"/>
        <w:gridCol w:w="274"/>
        <w:gridCol w:w="1686"/>
        <w:gridCol w:w="463"/>
        <w:gridCol w:w="426"/>
        <w:gridCol w:w="567"/>
        <w:gridCol w:w="943"/>
        <w:gridCol w:w="51"/>
        <w:gridCol w:w="362"/>
        <w:gridCol w:w="425"/>
      </w:tblGrid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3271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Объект закупки </w:t>
            </w:r>
          </w:p>
        </w:tc>
        <w:tc>
          <w:tcPr>
            <w:tcW w:w="79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59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Размер аванса, процентов </w:t>
            </w:r>
          </w:p>
        </w:tc>
        <w:tc>
          <w:tcPr>
            <w:tcW w:w="2980" w:type="dxa"/>
            <w:gridSpan w:val="5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Планируемые платежи 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Единица измерения </w:t>
            </w:r>
          </w:p>
        </w:tc>
        <w:tc>
          <w:tcPr>
            <w:tcW w:w="2013" w:type="dxa"/>
            <w:gridSpan w:val="6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Размер обеспечения </w:t>
            </w:r>
          </w:p>
        </w:tc>
        <w:tc>
          <w:tcPr>
            <w:tcW w:w="111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871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742" w:type="dxa"/>
            <w:gridSpan w:val="2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Преимущества, предоставля</w:t>
            </w: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Осуществление закупки у субъектов малого предпринима</w:t>
            </w: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softHyphen/>
              <w:t>тельства и социально ориентирова</w:t>
            </w: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463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994" w:type="dxa"/>
            <w:gridSpan w:val="2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362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наимено</w:t>
            </w: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softHyphen/>
              <w:t xml:space="preserve">вание </w:t>
            </w:r>
          </w:p>
        </w:tc>
        <w:tc>
          <w:tcPr>
            <w:tcW w:w="2461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описание </w:t>
            </w:r>
          </w:p>
        </w:tc>
        <w:tc>
          <w:tcPr>
            <w:tcW w:w="79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59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всего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текущий финансовый год </w:t>
            </w:r>
          </w:p>
        </w:tc>
        <w:tc>
          <w:tcPr>
            <w:tcW w:w="1033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плановый период </w:t>
            </w:r>
          </w:p>
        </w:tc>
        <w:tc>
          <w:tcPr>
            <w:tcW w:w="38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последующие годы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наимено</w:t>
            </w: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softHyphen/>
              <w:t xml:space="preserve">вание </w:t>
            </w:r>
          </w:p>
        </w:tc>
        <w:tc>
          <w:tcPr>
            <w:tcW w:w="25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код по ОКЕИ </w:t>
            </w:r>
          </w:p>
        </w:tc>
        <w:tc>
          <w:tcPr>
            <w:tcW w:w="254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всего 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текущий финансовый год </w:t>
            </w:r>
          </w:p>
        </w:tc>
        <w:tc>
          <w:tcPr>
            <w:tcW w:w="789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плановый период </w:t>
            </w:r>
          </w:p>
        </w:tc>
        <w:tc>
          <w:tcPr>
            <w:tcW w:w="385" w:type="dxa"/>
            <w:gridSpan w:val="2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последующие годы 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заявки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исполнения контракта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547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871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42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4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59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первый год 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второй год </w:t>
            </w:r>
          </w:p>
        </w:tc>
        <w:tc>
          <w:tcPr>
            <w:tcW w:w="38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5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первый год 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 второй год </w:t>
            </w:r>
          </w:p>
        </w:tc>
        <w:tc>
          <w:tcPr>
            <w:tcW w:w="385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42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4" w:type="dxa"/>
            <w:gridSpan w:val="2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5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33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181372801260037020100100010041920244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топлива дизельного евро по ГОСТ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Товар надлежащего качества. Поставщик обеспечивает отпуск товара Заказчику в режиме 24*7 (круглосуточно) по электронным картам через АЗС г. Иваново, АЗС Ивановской области, АЗС г. Владимира, АЗС Владимирской области (включая трассу М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), АЗС г. Костромы, АЗС Костромской области, АЗС г. Москвы, АЗС Московской области, АЗС г. Нижнего Новгорода, АЗС Нижегородской области, АЗС г. Ярославля, АЗС Ярославской области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38690.00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38690.00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38690.00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Постоянно, круглосуточно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 по 31.12.2018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386.90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3869.00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05.2018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Отмена заказчиком закупки, предусмотренной планом-графиком закупок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Отмена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Изменение условий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Топливо дизельное евро по ГОСТ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Литр;^кубический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дециметр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112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181372801260037020100100020031920244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бензина автомобильного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неэтилированного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Премиум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Евро-95 по ГОСТ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51866-2002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Товар надлежащего качества. Поставщик обеспечивает отпуск товара Заказчику в режиме 24*7 (круглосуточно) по электронным картам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через АЗС г. Иваново, АЗС Ивановской области, АЗС г. Владимира, АЗС Владимирской области (включая трассу М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), АЗС г. Костромы, АЗС Костромской области, АЗС г. Москвы, АЗС Московской области, АЗС г. Нижнего Новгорода, АЗС Нижегородской области, АЗС г. Ярославля, АЗС Ярославской области.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609450.00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609450.00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609450.00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услуг): Постоянно, круглосуточно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 по 31.12.2018.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6094.50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60945.00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05.2018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Отмена заказчиком закупки, предусмотренно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й планом-графиком закупок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Отмена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Изменение условий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Бензин автомобильный неэтилированный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Премиум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Евро-95 по ГОСТ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51866-2002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Литр;^кубический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дециметр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112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15000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15000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181372801260037020100100100016512244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услуги в полном объеме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61665.23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61665.23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61665.23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Постоянно в течение срока действия контракта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29.12.2019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Отмена заказчиком закупки, предусмотренной планом-графиком закупок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Отмена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отмена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181372801260037020100100110021712244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бумаги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Формат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А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4, Сорт В, Плотность 80 г/м2, Белизна (СIЕ): 150-160 (включая крайние значения), Яркость (ISO): 96-97% (включая крайние значения), Непрозрачность: 91-92% (включая крайние значения), Упаковка: Пачки по 500 листов в коробках по 5 пачек. 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236851.42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236851.42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236851.42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2368.51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11842.57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05.2018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Использование экономии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Бумага для печати 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1299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1299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Бумага для печати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181372801260037020100100130058542244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Получение услуги по дополнительному профессиональному образованию (повышение квалификации) федеральных государственных гражданских служащих в рамках федеральной целевой программы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услуги в полном объеме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57708.00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57708.00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57708.00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 по 31.12.2018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03.2018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Отмена заказчиком закупки, предусмотренной планом-графиком закупок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Отмена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Отмена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 дополнительному профессиональному образованию прочие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181372801260037020100100140060000244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бензина автомобильного неэтилированного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Премиум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Евро-95 по ГОСТ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51866-2002 и топлива дизельного евро по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ГОСТ Р 52368-2005 через АЗС, включая АЗС партнеров, по электронным картам для нужд УФНС России по Ивановской области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736815.00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733095.00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733095.00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 даты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 по 31.12.2018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7368.15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73681.50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05.2018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Бензин автомобильный с октановым числом более 92, но не более 95 по исследовательскому методу вне классов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Тысяча литров;^1000 литров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130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Топливо дизельное межсезонное вне классов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Тысяча литров;^1000 литров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130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181372801260037020100100150070000244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Товар надлежащего качества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согласно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технического задания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69326.06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69326.06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69326.06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693.26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3466.30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04.2018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06.2018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Маркеры-текстовыделители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Ручка шариковая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Ручка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гелевая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Зажим для бумаг (19 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Зажим для бумаг (25 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Термобумага для факс-аппаратов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Бумага офисная А3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Салфетки универсальные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Бумага для записей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173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173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Бумага для заметок в блоке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173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173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Скоросшиватель бумажный "Дело"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Товар надлежащего качества согласно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2395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2395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Клей-карандаш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Корректирующая жидкость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84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84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Ластик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Резинки универсальные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Клейкая лента скотч (19мм)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Клейкая лента скотч (50мм)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Скотч двусторонний (19мм)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Скотч двусторонний (50мм)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Корзина для бумаг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Подставка для пишущих принадлежностей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Дырокол (на 12 листов)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Степлер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№ 10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Точилка для карандашей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Линейка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Папка-уголок, А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Кнопки гвоздики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Файлы-вкладыши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73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Скобы для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степлера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№ 10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346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346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Скобы для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степлера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№ 24/6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346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346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Скобы для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степлера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№ 23/3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Зажим для бумаг (51 мм)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Скрепки никелированные, 28 мм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Скрепки оцинкованные, 50 мм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Упаковка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778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181372801260037020100100160080000242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расходных материалов и комплектующих для СВТ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176887.75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176887.75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176887.75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1768.88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8844.39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04.2018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06.2018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В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соответствии с Постановлением № 968 установлены ограничения и условия допуска отдельных видов радиоэлектронной продукции, включенных в перечень, утвержденный Постановлением № 968, и происходящих из иностранных государств, для целей осуществления закупок для обеспечения государственных и муниципальных нужд.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В соответствии с пунктом 2 Постановления № 968 для целей осуществления закупок отдельных видов радиоэлектронной продукции, включенных в перечень, Заказчик отклоняет все заявки, содержащие предложения о поставке отдельных видов радиоэлектронной продукции, включенных в перечень и происходящих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закупке заявок, которые одновременно: - содержат предложения о поставке отдельных видов радиоэлектронной продукции, включенных в перечень и производимых на территории Российской Федерации; - не содержат предложений о поставке одного и того же вида радиоэлектронной продукции одного производителя. В соответствии с пунктом 4 Постановления №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968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в случае если заявка, которая содержит предложение о поставке отдельных видов радиоэлектронной продукции, включенных в перечень и происходящих из иностранных государств, не отклоняется в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соответствии с установленными Постановлением № 968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Минэкономразвития России (Приказ Минэкономразвития России от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нужд»).</w:t>
            </w:r>
            <w:proofErr w:type="gramEnd"/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Картридж для МФУ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FS-6525MFP, tk475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Блок закрепления отпечатков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FK-171 (fk171) (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Термоблок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) для МФУ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ECOSYS M2035dn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Фотобарабан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Drum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Unit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DK-170 для принтера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Ecosys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P2135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Тонер-картридж МФУ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Xerox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VersaLink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B7030, 106R03396 оригинальный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Тонер-картридж МФУ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Xerox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3345, 106R03623 оригинальный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Картридж для принтера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Samsung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ProXpress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M4020ND, MLT-D203U оригинальный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Контроллер RAID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Блок питания тип 1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Блок питания тип 2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Жесткий диск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Комплект оригинальных расходных материалов для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Brother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HL-4150CDN в составе: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Brother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TN-325BK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Black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;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Brother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TN-325С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Cyan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;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Brother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TN-325М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Magenta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;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Brother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TN-325Y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Yellow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Комплект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839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Комплект оригинальных расходных материалов для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ECOSYS M6026cdn в составе: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Kyocera-Mita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TK-590K(B)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Black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;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Kyocera-Mita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TK-590Y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Yellow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;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Kyocera-Mita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TK-590М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Magenta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;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Kyocera-Mita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TK-590М Картридж,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Magenta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Комплект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839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Картридж для принтера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FS-6970DN, tk450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Картридж для принтера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Samsung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SL-M3820ND, MLT-D203E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Картридж для МФУ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FS-3140MFP+, tk350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Тонер-Картридж 370АВ000 для МФУ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KM-3035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Картридж для принтера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Kyocera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Ecosys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P2135, tk-170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Комплект картриджей для принтера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Samsung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CLP-325 CLT-K407S черный, CLT-C407S синий, CLT-M407S пурпурный, CLT-Y407S желтый или эквивалент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Комплект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839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181372801260037020100100170093511244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электрической энергии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70.0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Электроэнергия, произведенная электростанциями общего назначения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181372801260037020100100180100620244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газа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460394.23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30.0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460394.23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460394.23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Газ горючий природный (газ естественный)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11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181372801260037020100100190113600244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40000.00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30.0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40000.00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40000.00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Вода питьевая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181372801260037020100100200128121244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951000.00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951000.00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951000.00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9510.00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47550.00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 общей уборке зданий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181372801260037020100100210138110244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1175000.00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1175000.00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1175000.00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11750.00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58750.00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 обслуживанию помещений комплексные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181372801260037020100100220144520244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диагностике, техническому обслуживанию и ремонту автотранспортных сре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дств дл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я обеспечения государственных нужд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2000.00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01.2018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 регламентным работам (по видам технического обслуживания)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181372801260037020100100230156110242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связи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4236000.00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4236000.00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4236000.00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Централизация закупки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181372801260037020100100240172620242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сканеров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двухмерного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штрих-кода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200340.00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200340.00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200340.00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Сроки передачи Оборудования с учетом его доставки: не позднее 20 (двадцати) календарных дней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Контракта. 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10017.00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07.2018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09.2018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В соответствии с постановлением Правительства от 26.09.2016 № 968 (далее - Постановление № 968) установлены ограничения и условия допуска отдельных видов радиоэлектронной продукции, включенных в перечень, утвержденный Постановлением № 968, и происходящих из иностранных государств, для целей осуществления закупок для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обеспечения государственных и муниципальных нужд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Уточнение технических характеристик объекта закупки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Сканеры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двухмерного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штрих-кода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Тип сканера </w:t>
            </w:r>
            <w:r w:rsidRPr="00737B5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─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2D-Imager; Тип штрих кодов </w:t>
            </w:r>
            <w:r w:rsidRPr="00737B5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─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1D, 2D (чтение штрих кодов PDF); Источник света </w:t>
            </w:r>
            <w:r w:rsidRPr="00737B5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─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светодиодный; Вес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кг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не более 0,2; Минимальное разрешение кода: не более 10 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mil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для 2 D; Наличие дополнительных модулей и интерфейсов (сетевой интерфейс, устройства чтения карт памяти и т.д.) </w:t>
            </w:r>
            <w:r w:rsidRPr="00737B5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─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USB-HID (поддержка эмуляции клавиатуры); Устойчивость к внешним воздействиям </w:t>
            </w:r>
            <w:r w:rsidRPr="00737B5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─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Защита от пыли; выдерживать множественные падения с высоты не менее 1,0 м на бетон; Поддержка работы в ЕГАИС/ФГИС </w:t>
            </w:r>
            <w:r w:rsidRPr="00737B5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─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Наличие.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181372801260037020100100250185819244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почтовых маркированных конвертов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90000.00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90000.00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90000.00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Срок поставки: в течение 5 (Пяти) календарных дней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 даты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государственного контракта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900.00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9000.00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06.2018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08.2018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Конверт почтовый маркированный с литерой "А"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Размер 110мм*220мм, без окна, с адресной сеткой "</w:t>
            </w:r>
            <w:proofErr w:type="spell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Куда-кому</w:t>
            </w:r>
            <w:proofErr w:type="spell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", с верхним клапаном, с силиконовой лентой)</w:t>
            </w:r>
            <w:proofErr w:type="gramEnd"/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Штука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3000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3000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181372801260037020100100260195819244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Почтовая марка номиналом 0,50 руб. - 1000 шт., почтовая марка номиналом 1,00 руб. - 600 штук; почтовая марка номиналом 3,00 руб. - 600 штук; почтовая марка номиналом 4,00 руб. - 400 штук; почтовая марка номиналом 5,00 руб. - 600 штук; почтовая марка номиналом 6,00 руб. - 600 штук; почтовая марка номиналом 10,00 руб. - 600 штук; почтовая марка номиналом 19,00 руб. - 430 штук;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почтовая марка номиналом 25,00 руб. - 240 штук; почтовая марка номиналом 37,00 руб. - 430 штук.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47180.00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47180.00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47180.00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Период поставки: в течение 5 (Пяти) рабочих дней 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государственного контракта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07.2018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08.2018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Марки почтовые негашеные, гербовые и аналогичные марки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Комплект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839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181372801260037020100100270225310244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почтовой связи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12274750.00/408.66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12274750.00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12274750.00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122747.50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1227475.00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Услуги по пересылке простого письма до 100гр., услуги по пересылке заказного письма до 100гр.</w:t>
            </w:r>
            <w:proofErr w:type="gramStart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,у</w:t>
            </w:r>
            <w:proofErr w:type="gramEnd"/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слуги по пересылке заказного письма с уведомлением до 100гр., услуги по пересылке простой бандероли (весом от 100гр. до 2кг), услуги по пересылке заказной бандероли с уведомлением (весом от 100гр. до 2кг).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181372801260037020100100280206120242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подвижной радиотелефонной связи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Телефонные соединения на местных операторов связи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256200.00/1.80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256200.00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256200.00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25620.00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подвижной связи в выделенных радиосетях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Телефонные соединения на местных операторов связи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Минута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355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37020100100290216399242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Оказание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услуг по сопровождению справочно-правовых систем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555433.00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555433.00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555433.00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Периодичность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поставки товаров (выполнения работ, оказания услуг): Ежедневно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27771.65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11.2018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12.2019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Электронный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аукцион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нет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КС 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br/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737B59" w:rsidRPr="00737B59" w:rsidTr="00407F07">
        <w:tc>
          <w:tcPr>
            <w:tcW w:w="166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Сборники фактов/информации оригинальные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271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1668328.80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1668328.80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07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Изменение закупки </w:t>
            </w: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Уточнение НМЦК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181372801260037020100100120060000000</w:t>
            </w:r>
          </w:p>
        </w:tc>
        <w:tc>
          <w:tcPr>
            <w:tcW w:w="8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1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181372801260037020100100120160000000</w:t>
            </w:r>
          </w:p>
        </w:tc>
        <w:tc>
          <w:tcPr>
            <w:tcW w:w="8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46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1668328.80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1668328.80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4395" w:type="dxa"/>
            <w:gridSpan w:val="4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23706177.46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25370786.26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3222009.03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22148777.23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737B59" w:rsidRPr="00737B59" w:rsidTr="00407F07">
        <w:tc>
          <w:tcPr>
            <w:tcW w:w="4395" w:type="dxa"/>
            <w:gridSpan w:val="4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79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35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2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85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4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71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42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3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960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63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6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94" w:type="dxa"/>
            <w:gridSpan w:val="2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362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F1449" w:rsidRPr="00737B59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737B5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X</w:t>
            </w:r>
          </w:p>
        </w:tc>
      </w:tr>
      <w:tr w:rsidR="004F1449" w:rsidRPr="00407F07" w:rsidTr="00407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28" w:type="dxa"/>
        </w:trPr>
        <w:tc>
          <w:tcPr>
            <w:tcW w:w="1129" w:type="dxa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0207" w:type="dxa"/>
            <w:gridSpan w:val="16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020" w:type="dxa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4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5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Баранова В. В. </w:t>
            </w:r>
          </w:p>
        </w:tc>
      </w:tr>
      <w:tr w:rsidR="004F1449" w:rsidRPr="00407F07" w:rsidTr="00407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28" w:type="dxa"/>
        </w:trPr>
        <w:tc>
          <w:tcPr>
            <w:tcW w:w="1129" w:type="dxa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207" w:type="dxa"/>
            <w:gridSpan w:val="1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1020" w:type="dxa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4" w:type="dxa"/>
            <w:gridSpan w:val="7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1021" w:type="dxa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4085" w:type="dxa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4F1449" w:rsidRPr="00407F07" w:rsidTr="00407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28" w:type="dxa"/>
          <w:trHeight w:val="95"/>
        </w:trPr>
        <w:tc>
          <w:tcPr>
            <w:tcW w:w="1129" w:type="dxa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207" w:type="dxa"/>
            <w:gridSpan w:val="1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4" w:type="dxa"/>
            <w:gridSpan w:val="7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F1449" w:rsidRPr="004F1449" w:rsidRDefault="004F1449" w:rsidP="004F144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"/>
        <w:gridCol w:w="216"/>
        <w:gridCol w:w="647"/>
        <w:gridCol w:w="215"/>
        <w:gridCol w:w="646"/>
        <w:gridCol w:w="215"/>
        <w:gridCol w:w="18960"/>
      </w:tblGrid>
      <w:tr w:rsidR="004F1449" w:rsidRPr="00407F07" w:rsidTr="004F1449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«03» </w:t>
            </w:r>
          </w:p>
        </w:tc>
        <w:tc>
          <w:tcPr>
            <w:tcW w:w="5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4F1449" w:rsidRPr="004F1449" w:rsidRDefault="004F1449" w:rsidP="004F144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241" w:type="pct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"/>
        <w:gridCol w:w="867"/>
        <w:gridCol w:w="3677"/>
        <w:gridCol w:w="1093"/>
        <w:gridCol w:w="1382"/>
        <w:gridCol w:w="2922"/>
        <w:gridCol w:w="59"/>
        <w:gridCol w:w="4097"/>
        <w:gridCol w:w="1292"/>
        <w:gridCol w:w="1211"/>
        <w:gridCol w:w="2439"/>
        <w:gridCol w:w="1012"/>
        <w:gridCol w:w="176"/>
        <w:gridCol w:w="592"/>
        <w:gridCol w:w="185"/>
        <w:gridCol w:w="280"/>
        <w:gridCol w:w="872"/>
        <w:gridCol w:w="181"/>
      </w:tblGrid>
      <w:tr w:rsidR="004F1449" w:rsidRPr="004F1449" w:rsidTr="00407F07">
        <w:trPr>
          <w:gridAfter w:val="2"/>
          <w:wAfter w:w="233" w:type="pct"/>
        </w:trPr>
        <w:tc>
          <w:tcPr>
            <w:tcW w:w="4767" w:type="pct"/>
            <w:gridSpan w:val="16"/>
            <w:vAlign w:val="center"/>
            <w:hideMark/>
          </w:tcPr>
          <w:p w:rsidR="004F1449" w:rsidRPr="00407F07" w:rsidRDefault="004F1449" w:rsidP="00407F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      </w:r>
          </w:p>
        </w:tc>
      </w:tr>
      <w:tr w:rsidR="00407F07" w:rsidRPr="00407F07" w:rsidTr="00407F07">
        <w:tc>
          <w:tcPr>
            <w:tcW w:w="3176" w:type="pct"/>
            <w:gridSpan w:val="8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1488" w:type="pct"/>
            <w:gridSpan w:val="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40" w:type="pct"/>
            <w:vMerge w:val="restar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407F07" w:rsidRPr="00407F07" w:rsidTr="00407F07">
        <w:tc>
          <w:tcPr>
            <w:tcW w:w="3176" w:type="pct"/>
            <w:gridSpan w:val="8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1488" w:type="pct"/>
            <w:gridSpan w:val="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" w:type="pct"/>
            <w:vMerge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92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814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242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306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647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014" w:type="pct"/>
            <w:gridSpan w:val="5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224" w:type="pct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11" w:type="pct"/>
            <w:gridSpan w:val="3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255" w:type="pct"/>
            <w:gridSpan w:val="2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  <w:trHeight w:val="85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</w:t>
            </w: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181372801260037020100100010041920244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топлива дизельного евро по ГОСТ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38690.00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Стоимость 1 л дизельного топлива согласно коммерческим предложениям, сопоставимым с условиями закупки, составила: 39,00 руб. (поставщик N 1), 38,27 руб. (поставщик N 2), 38,80 руб. (поставщик N 3). Количество: 1 000 л НМЦК = (39,00+38,27+38,80)/3*1000 = 38 690 руб.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 1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181372801260037020100100020031920244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бензина автомобильного неэтилированного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Премиум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Евро-95 по ГОСТ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51866-2002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609450.00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Стоимость 1 л бензина согласно коммерческим предложениям, сопоставимым с условиями закупки, составила: 40,80 руб. (поставщик N 1), 40,09 руб. (поставщик N 2), 41,00 руб. (поставщик N 3). Количество: 15 000 л НМЦК = (40,80+40,09+ 41,00)/3*15000 = 609450руб.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 1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181372801260037020100100100016512244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61665.23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См. приложенный файл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ст. 72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181372801260037020100100110021712244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бумаги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236851.42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Стоимость 1 пачки бумаги для офисной техники формата А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согласно коммерческим предложениям, сопоставимым с условиями закупки, составила: 210,35 руб. (поставщик N 1), 205,62 руб. (поставщик N 2), 216 руб. (поставщик N 3). Количество: 1300 пачек НМЦК: (210,35+205,62+216)/3*1300 = 273 858 руб.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ч.1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181372801260037020100100130058542244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Получение услуги по дополнительному профессиональному образованию (повышение квалификации) федеральных государственных гражданских служащих в рамках федеральной целевой программы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57708.00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Стоимость услуги согласно ценовым предложениям, сопоставимым с условиями закупки, составила: 58000 руб. (исполнитель N 1), 59000 руб. (исполнитель N 2), 57708 руб. (исполнитель N 3). Контракт предполагается заключить по наименьшей цене.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п. 4 ч. 1 ст. 93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181372801260037020100100140060000244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бензина автомобильного неэтилированного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Премиум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Евро-95 по ГОСТ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51866-2002 и топлива дизельного евро по ГОСТ Р 52368-2005 через АЗС, включая 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АЗС партнеров, по электронным картам для нужд УФНС России по Ивановской области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736815.00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Стоимость 1 л бензина согласно коммерческим предложениям, сопоставимым с условиями закупки, составила: 49,58 руб. (поставщик № 1), 46,30 руб. (поставщик № 2), 46,75 руб. (поставщик № 3). Количество: 15000 л. НМЦК бензина: (49,58 +46,30 +46,75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)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/3 *15000 = 713 100 руб. Стоимость 1 л дизельного топлива согласно коммерческим предложениям, сопоставимым с условиями закупки, составила: 48,08 руб. (поставщик № 1), 47,20 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 xml:space="preserve">руб. (поставщик № 2), 47,00 руб. (поставщик № 3). Количество: 500 л НМЦК </w:t>
            </w:r>
            <w:proofErr w:type="spellStart"/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диз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. топлива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: (48,08+47,20+ 47,00)/3*500 = 23 715 руб. НМЦК: 713 100 +23 715 = 736 815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 2 ст. 59 Федерального закона № 44-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7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181372801260037020100100150070000244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69326.06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Расчет НМЦК приведен в приложении № 2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181372801260037020100100160080000242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расходных материалов и комплектующих для СВТ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176887.75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Расчет НМЦК приведен в приложении № 1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181372801260037020100100170093511244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электрической энергии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Утвержденный тариф – 6,069 руб./кВт. Объем - 321304,99 кВт в год. НМЦК: 6,069*329543,58 = 2 000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000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руб.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п. 29 ч. 1 ст. 93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181372801260037020100100180100620244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газа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460394.23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Утвержденный тариф – 6577,06 руб./тыс.н. м³. Объем - 70 тыс.н. м³ в год.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НМЦК: 6577,06 * 70 = 460 394,23 руб.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п. 8 ч. 1 ст. 93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181372801260037020100100190113600244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40000.00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Утвержденный тариф на 2 полугодие 2018 г. на водоснабжение – 20,47 руб./м³, на водоотведение – 15,24 руб./м³. Объем - 1120,13 м³ в год. НМЦК: (20,47+15,24)* 1120,13 = 40 000 руб. НМЦК: (16,92+11,45+20,47+15,24)/2* 1248,44 = 40 000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п. 8 ч. 1 ст. 93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181372801260037020100100200128121244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951000.00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Стоимость 1 услуги согласно коммерческим предложениям, сопоставимым с условиями закупки, составила: 945000 руб. (исполнитель №1), 1050000 руб. (исполнитель №2), 858000 руб. (исполнитель №3). НМЦК: (945000+1050000 +858000)/3 = 951000 руб. В соответствии с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доведенными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ЛБО НМЦК составляет 951000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181372801260037020100100210138110244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1175000.00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Стоимость 1 услуги согласно коммерческим предложениям, сопоставимым с условиями закупки, составила: 1161000 руб. (исполнитель №1), 1205000 руб. (исполнитель №2), 1159000 руб. (исполнитель №3). НМЦК: (1161000+1205000 +1159000)/3 = 1 175 000 руб. В соответствии с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доведенными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ЛБО НМЦК составляет 1 175 000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181372801260037020100100220144520244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диагностике, техническому обслуживанию и ремонту автотранспортных сре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дств дл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я обеспечения государственных нужд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Расчет НМЦК приведен в приложении № 3.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 2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181372801260037020100100230156110242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связи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4236000.00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Утвержденный тариф на ГТС предоставление в пользование PRI порта – 21240 руб./мес., кол-во портов – 5; ГТС предоставление цифрового канала связи – 15576 руб./мес., кол-во каналов – 5; ГТС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индивид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.а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бон.линия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– 247,80 руб./мес., кол-во линий - 6; ГТС местные ТС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абон.плата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– 1682,4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руб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, кол-во ТС – 1; ГТС местные ТС – 82,60 руб., кол-во ТС – 1; ГТС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индивид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.а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бон.линия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– 8673 руб., кол-во линий – 1; ГТС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индивид.абон.линия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с </w:t>
            </w:r>
            <w:proofErr w:type="spell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повр.платой</w:t>
            </w:r>
            <w:proofErr w:type="spell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– 6195 руб., кол-во линий – 1; на местные телефонные соединения – 0,54 руб./мин.; на внутризоновые телефонные соединения автоматическим способом – 2,53 руб./мин.; на внутризоновые телефонные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соединения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на коды DEF – 1,77 руб./мин. Кол-во внутризоновых телефонных соединений автоматическим способом – 264820,08 мин., кол-во внутризоновых телефонных соединений на коды DEF – 484000 мин., кол-во местных телефонных соединений – 95600 мин. НМЦК: (21240*5+15576*5+247,8*6+1682,4+</w:t>
            </w:r>
            <w:r w:rsid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82,6+8673+6195)*12+2,53 *264820,08+1,77*484000+0,54*95600 = 4 236 000 руб. Количество внутризоновых телефонных соединений автоматическим способом – 21000 мин., количество внутризоновых телефонных соединений на коды DEF – 1188,7 мин. НМЦК: (21240+15576+247,8)*12+2,53 *21000+1,77*1188,7 = 500 000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п. 1 ч. 1 ст. 93 Федерального закона № 44-ФЗ 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181372801260037020100100240172620242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Поставка сканеров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двухмерного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штрих-кода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200340.00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См. приложенный файл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 2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181372801260037020100100250185819244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почтовых маркированных конвертов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90000.00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См. приложенный файл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 2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181372801260037020100100260195819244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47180.00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См. приложенный файл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п. 1 ч. 1 ст. 93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181372801260037020100100270225310244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почтовой связи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12274750.00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См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.п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риложенный файл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ч.2 ст.59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181372801260037020100100280206120242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Услуги подвижной радиотелефонной связи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256200.00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Стоимость 1 мин. телефонных соединений согласно коммерческим предложениям, сопоставимым с условиями закупки, составила: 1,80 руб. (исполнитель № 1), 1,80 руб. (исполнитель № 2). Средняя цена единицы услуги: 1,80+1,80/2= 1,80 руб. Объем услуг связи в соответствии со ст.42 Федерального закона № 44-ФЗ невозможно определить. НМЦК устанавливается 256200,00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ч.2 ст. 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181372801260037020100100290216399242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Оказание услуг по сопровождению справочно-правовых систем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555433.00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Стоимость 1 пакета услуг согласно коммерческим предложениям, сопоставимым с условиями закупки, составила: 79347,60 руб. (исполнитель № 1), 79347,60 руб. (исполнитель № 2). Кол-во пакетов услуг – 7. НМЦК: 79347,60+79347,60/2*12*7 = 555433,20. В соответствии с </w:t>
            </w:r>
            <w:proofErr w:type="gramStart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доведенными</w:t>
            </w:r>
            <w:proofErr w:type="gramEnd"/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ЛБО НМЦК составляет 555 433,00 руб.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ч.2 ст.59 Федерального закона № 44-ФЗ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pct"/>
        </w:trPr>
        <w:tc>
          <w:tcPr>
            <w:tcW w:w="55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92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181372801260037020100100120060000000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181372801260037020100100120160000000</w:t>
            </w:r>
          </w:p>
        </w:tc>
        <w:tc>
          <w:tcPr>
            <w:tcW w:w="81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42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0.00</w:t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</w: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1668328.80</w:t>
            </w:r>
          </w:p>
        </w:tc>
        <w:tc>
          <w:tcPr>
            <w:tcW w:w="306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647" w:type="pct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14" w:type="pct"/>
            <w:gridSpan w:val="5"/>
            <w:vAlign w:val="center"/>
            <w:hideMark/>
          </w:tcPr>
          <w:p w:rsidR="004F1449" w:rsidRPr="00407F07" w:rsidRDefault="004F1449" w:rsidP="004F144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Годовой объем закупок соответствует ограничениям, которые установлены в п. 4 ч. 1 ст. 93 Федерального закона № 44-ФЗ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11" w:type="pct"/>
            <w:gridSpan w:val="3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407F07" w:rsidRPr="00407F07" w:rsidTr="00407F07">
        <w:trPr>
          <w:gridAfter w:val="1"/>
          <w:wAfter w:w="40" w:type="pct"/>
        </w:trPr>
        <w:tc>
          <w:tcPr>
            <w:tcW w:w="2256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Пучков Андрей Альбертович, Заместитель руководителя</w:t>
            </w:r>
          </w:p>
        </w:tc>
        <w:tc>
          <w:tcPr>
            <w:tcW w:w="13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907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68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«03» </w:t>
            </w:r>
          </w:p>
        </w:tc>
        <w:tc>
          <w:tcPr>
            <w:tcW w:w="54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24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31" w:type="pct"/>
            <w:tcBorders>
              <w:bottom w:val="single" w:sz="6" w:space="0" w:color="FFFFFF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41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407F07" w:rsidRPr="00407F07" w:rsidTr="00407F07">
        <w:trPr>
          <w:gridAfter w:val="1"/>
          <w:wAfter w:w="40" w:type="pct"/>
        </w:trPr>
        <w:tc>
          <w:tcPr>
            <w:tcW w:w="2256" w:type="pct"/>
            <w:gridSpan w:val="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13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86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68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4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39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3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4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7F07" w:rsidRPr="00407F07" w:rsidTr="00407F07">
        <w:trPr>
          <w:gridAfter w:val="1"/>
          <w:wAfter w:w="40" w:type="pct"/>
        </w:trPr>
        <w:tc>
          <w:tcPr>
            <w:tcW w:w="2256" w:type="pct"/>
            <w:gridSpan w:val="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3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7F07" w:rsidRPr="00407F07" w:rsidTr="00407F07">
        <w:trPr>
          <w:gridAfter w:val="1"/>
          <w:wAfter w:w="40" w:type="pct"/>
        </w:trPr>
        <w:tc>
          <w:tcPr>
            <w:tcW w:w="2256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Баранова Валентина Васильевна</w:t>
            </w:r>
          </w:p>
        </w:tc>
        <w:tc>
          <w:tcPr>
            <w:tcW w:w="13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907" w:type="pct"/>
            <w:tcBorders>
              <w:bottom w:val="single" w:sz="6" w:space="0" w:color="000000"/>
            </w:tcBorders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268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7F07" w:rsidRPr="00407F07" w:rsidTr="00407F07">
        <w:trPr>
          <w:gridAfter w:val="1"/>
          <w:wAfter w:w="40" w:type="pct"/>
        </w:trPr>
        <w:tc>
          <w:tcPr>
            <w:tcW w:w="2256" w:type="pct"/>
            <w:gridSpan w:val="6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13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907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86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68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F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40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" w:type="pct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vAlign w:val="center"/>
            <w:hideMark/>
          </w:tcPr>
          <w:p w:rsidR="004F1449" w:rsidRPr="00407F07" w:rsidRDefault="004F1449" w:rsidP="004F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625E8" w:rsidRDefault="00A625E8">
      <w:bookmarkStart w:id="0" w:name="_GoBack"/>
      <w:bookmarkEnd w:id="0"/>
    </w:p>
    <w:sectPr w:rsidR="00A625E8" w:rsidSect="00737B59">
      <w:pgSz w:w="23814" w:h="16839" w:orient="landscape" w:code="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58EC"/>
    <w:rsid w:val="00407F07"/>
    <w:rsid w:val="004F1449"/>
    <w:rsid w:val="006958EC"/>
    <w:rsid w:val="00737B59"/>
    <w:rsid w:val="00A625E8"/>
    <w:rsid w:val="00FC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2"/>
  </w:style>
  <w:style w:type="paragraph" w:styleId="1">
    <w:name w:val="heading 1"/>
    <w:basedOn w:val="a"/>
    <w:link w:val="10"/>
    <w:uiPriority w:val="9"/>
    <w:qFormat/>
    <w:rsid w:val="004F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4F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44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44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F144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F144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4F1449"/>
    <w:rPr>
      <w:b/>
      <w:bCs/>
    </w:rPr>
  </w:style>
  <w:style w:type="paragraph" w:styleId="a6">
    <w:name w:val="Normal (Web)"/>
    <w:basedOn w:val="a"/>
    <w:uiPriority w:val="99"/>
    <w:semiHidden/>
    <w:unhideWhenUsed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4F144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4F144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4F144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4F144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4F144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4F144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4F144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4F144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4F144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4F144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4F144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4F144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4F144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4F144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4F144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4F144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4F144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4F144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4F144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4F144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4F144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4F144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4F144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4F144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4F14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4F144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4F144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4F144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4F144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4F1449"/>
  </w:style>
  <w:style w:type="character" w:customStyle="1" w:styleId="dynatree-vline">
    <w:name w:val="dynatree-vline"/>
    <w:basedOn w:val="a0"/>
    <w:rsid w:val="004F1449"/>
  </w:style>
  <w:style w:type="character" w:customStyle="1" w:styleId="dynatree-connector">
    <w:name w:val="dynatree-connector"/>
    <w:basedOn w:val="a0"/>
    <w:rsid w:val="004F1449"/>
  </w:style>
  <w:style w:type="character" w:customStyle="1" w:styleId="dynatree-expander">
    <w:name w:val="dynatree-expander"/>
    <w:basedOn w:val="a0"/>
    <w:rsid w:val="004F1449"/>
  </w:style>
  <w:style w:type="character" w:customStyle="1" w:styleId="dynatree-icon">
    <w:name w:val="dynatree-icon"/>
    <w:basedOn w:val="a0"/>
    <w:rsid w:val="004F1449"/>
  </w:style>
  <w:style w:type="character" w:customStyle="1" w:styleId="dynatree-checkbox">
    <w:name w:val="dynatree-checkbox"/>
    <w:basedOn w:val="a0"/>
    <w:rsid w:val="004F1449"/>
  </w:style>
  <w:style w:type="character" w:customStyle="1" w:styleId="dynatree-radio">
    <w:name w:val="dynatree-radio"/>
    <w:basedOn w:val="a0"/>
    <w:rsid w:val="004F1449"/>
  </w:style>
  <w:style w:type="character" w:customStyle="1" w:styleId="dynatree-drag-helper-img">
    <w:name w:val="dynatree-drag-helper-img"/>
    <w:basedOn w:val="a0"/>
    <w:rsid w:val="004F1449"/>
  </w:style>
  <w:style w:type="character" w:customStyle="1" w:styleId="dynatree-drag-source">
    <w:name w:val="dynatree-drag-source"/>
    <w:basedOn w:val="a0"/>
    <w:rsid w:val="004F1449"/>
    <w:rPr>
      <w:shd w:val="clear" w:color="auto" w:fill="E0E0E0"/>
    </w:rPr>
  </w:style>
  <w:style w:type="paragraph" w:customStyle="1" w:styleId="mainlink1">
    <w:name w:val="mainlink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4F144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4F144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4F144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4F144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4F144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4F144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4F144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4F14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4F144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4F144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4F144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4F144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4F144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4F144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4F144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4F144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4F1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4F144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4F144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4F144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4F1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4F1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4F144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4F144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4F144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4F144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4F14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4F14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4F144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4F144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4F144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4F144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4F14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4F14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4F144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4F144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4F144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4F144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4F144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4F144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4F144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4F144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4F1449"/>
  </w:style>
  <w:style w:type="character" w:customStyle="1" w:styleId="dynatree-icon1">
    <w:name w:val="dynatree-icon1"/>
    <w:basedOn w:val="a0"/>
    <w:rsid w:val="004F1449"/>
  </w:style>
  <w:style w:type="paragraph" w:customStyle="1" w:styleId="confirmdialogheader1">
    <w:name w:val="confirmdialogheader1"/>
    <w:basedOn w:val="a"/>
    <w:rsid w:val="004F144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4F144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4F144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4F144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4F144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4F1449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4F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44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44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F144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F144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4F1449"/>
    <w:rPr>
      <w:b/>
      <w:bCs/>
    </w:rPr>
  </w:style>
  <w:style w:type="paragraph" w:styleId="a6">
    <w:name w:val="Normal (Web)"/>
    <w:basedOn w:val="a"/>
    <w:uiPriority w:val="99"/>
    <w:semiHidden/>
    <w:unhideWhenUsed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4F144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4F144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4F144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4F144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4F144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4F144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4F144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4F144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4F144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4F144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4F144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4F144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4F144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4F144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4F144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4F144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4F144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4F144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4F144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4F144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4F144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4F144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4F144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4F144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4F14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4F144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4F144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4F144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4F144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4F1449"/>
  </w:style>
  <w:style w:type="character" w:customStyle="1" w:styleId="dynatree-vline">
    <w:name w:val="dynatree-vline"/>
    <w:basedOn w:val="a0"/>
    <w:rsid w:val="004F1449"/>
  </w:style>
  <w:style w:type="character" w:customStyle="1" w:styleId="dynatree-connector">
    <w:name w:val="dynatree-connector"/>
    <w:basedOn w:val="a0"/>
    <w:rsid w:val="004F1449"/>
  </w:style>
  <w:style w:type="character" w:customStyle="1" w:styleId="dynatree-expander">
    <w:name w:val="dynatree-expander"/>
    <w:basedOn w:val="a0"/>
    <w:rsid w:val="004F1449"/>
  </w:style>
  <w:style w:type="character" w:customStyle="1" w:styleId="dynatree-icon">
    <w:name w:val="dynatree-icon"/>
    <w:basedOn w:val="a0"/>
    <w:rsid w:val="004F1449"/>
  </w:style>
  <w:style w:type="character" w:customStyle="1" w:styleId="dynatree-checkbox">
    <w:name w:val="dynatree-checkbox"/>
    <w:basedOn w:val="a0"/>
    <w:rsid w:val="004F1449"/>
  </w:style>
  <w:style w:type="character" w:customStyle="1" w:styleId="dynatree-radio">
    <w:name w:val="dynatree-radio"/>
    <w:basedOn w:val="a0"/>
    <w:rsid w:val="004F1449"/>
  </w:style>
  <w:style w:type="character" w:customStyle="1" w:styleId="dynatree-drag-helper-img">
    <w:name w:val="dynatree-drag-helper-img"/>
    <w:basedOn w:val="a0"/>
    <w:rsid w:val="004F1449"/>
  </w:style>
  <w:style w:type="character" w:customStyle="1" w:styleId="dynatree-drag-source">
    <w:name w:val="dynatree-drag-source"/>
    <w:basedOn w:val="a0"/>
    <w:rsid w:val="004F1449"/>
    <w:rPr>
      <w:shd w:val="clear" w:color="auto" w:fill="E0E0E0"/>
    </w:rPr>
  </w:style>
  <w:style w:type="paragraph" w:customStyle="1" w:styleId="mainlink1">
    <w:name w:val="mainlink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4F144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4F144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4F14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4F144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4F144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4F144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4F144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4F144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4F14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4F144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4F144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4F144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4F144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4F144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4F144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4F144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4F144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4F1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4F144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4F144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4F144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4F1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4F1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4F144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4F144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4F144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4F144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4F144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4F14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4F14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4F144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4F144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4F144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4F144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4F14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4F14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4F144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4F144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4F144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4F144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4F144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4F144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4F144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4F144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4F1449"/>
  </w:style>
  <w:style w:type="character" w:customStyle="1" w:styleId="dynatree-icon1">
    <w:name w:val="dynatree-icon1"/>
    <w:basedOn w:val="a0"/>
    <w:rsid w:val="004F1449"/>
  </w:style>
  <w:style w:type="paragraph" w:customStyle="1" w:styleId="confirmdialogheader1">
    <w:name w:val="confirmdialogheader1"/>
    <w:basedOn w:val="a"/>
    <w:rsid w:val="004F144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4F144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4F144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4F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4F144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4F144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4F14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F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4F1449"/>
    <w:rPr>
      <w:bdr w:val="single" w:sz="6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8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7591</Words>
  <Characters>43274</Characters>
  <Application>Microsoft Office Word</Application>
  <DocSecurity>0</DocSecurity>
  <Lines>360</Lines>
  <Paragraphs>101</Paragraphs>
  <ScaleCrop>false</ScaleCrop>
  <Company/>
  <LinksUpToDate>false</LinksUpToDate>
  <CharactersWithSpaces>50764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</dc:creator>
  <cp:keywords/>
  <dc:description/>
  <cp:lastModifiedBy>3700-01-769</cp:lastModifiedBy>
  <cp:revision>4</cp:revision>
  <dcterms:created xsi:type="dcterms:W3CDTF">2018-07-04T13:49:00Z</dcterms:created>
  <dcterms:modified xsi:type="dcterms:W3CDTF">2018-07-04T14:19:00Z</dcterms:modified>
</cp:coreProperties>
</file>