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2" w:type="pct"/>
        <w:tblInd w:w="14034" w:type="dxa"/>
        <w:tblCellMar>
          <w:left w:w="0" w:type="dxa"/>
          <w:right w:w="0" w:type="dxa"/>
        </w:tblCellMar>
        <w:tblLook w:val="04A0"/>
      </w:tblPr>
      <w:tblGrid>
        <w:gridCol w:w="2798"/>
        <w:gridCol w:w="214"/>
        <w:gridCol w:w="2153"/>
        <w:gridCol w:w="215"/>
        <w:gridCol w:w="2591"/>
        <w:gridCol w:w="114"/>
        <w:gridCol w:w="66"/>
        <w:gridCol w:w="66"/>
        <w:gridCol w:w="65"/>
      </w:tblGrid>
      <w:tr w:rsidR="00916488" w:rsidRPr="00ED530B" w:rsidTr="00ED530B">
        <w:tc>
          <w:tcPr>
            <w:tcW w:w="4812" w:type="pct"/>
            <w:gridSpan w:val="5"/>
            <w:vAlign w:val="center"/>
            <w:hideMark/>
          </w:tcPr>
          <w:p w:rsidR="00916488" w:rsidRPr="00ED530B" w:rsidRDefault="00916488" w:rsidP="00916488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УТВЕРЖДАЮ </w:t>
            </w: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69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16488" w:rsidRPr="00ED530B" w:rsidTr="00ED530B">
        <w:tc>
          <w:tcPr>
            <w:tcW w:w="1689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Заместитель руководителя</w:t>
            </w:r>
          </w:p>
        </w:tc>
        <w:tc>
          <w:tcPr>
            <w:tcW w:w="129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Пучков А. А. </w:t>
            </w:r>
          </w:p>
        </w:tc>
        <w:tc>
          <w:tcPr>
            <w:tcW w:w="69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488" w:rsidRPr="00ED530B" w:rsidTr="00ED530B">
        <w:tc>
          <w:tcPr>
            <w:tcW w:w="1689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129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3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64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69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488" w:rsidRPr="00ED530B" w:rsidTr="00ED530B"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6488" w:rsidRPr="00ED530B" w:rsidRDefault="00916488" w:rsidP="00916488">
      <w:pPr>
        <w:spacing w:after="0" w:line="240" w:lineRule="auto"/>
        <w:rPr>
          <w:rFonts w:ascii="Tahoma" w:eastAsia="Times New Roman" w:hAnsi="Tahoma" w:cs="Tahoma"/>
          <w:vanish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91"/>
        <w:gridCol w:w="647"/>
        <w:gridCol w:w="215"/>
        <w:gridCol w:w="646"/>
        <w:gridCol w:w="215"/>
        <w:gridCol w:w="646"/>
        <w:gridCol w:w="220"/>
        <w:gridCol w:w="2366"/>
      </w:tblGrid>
      <w:tr w:rsidR="00916488" w:rsidRPr="00ED530B" w:rsidTr="00ED530B">
        <w:tc>
          <w:tcPr>
            <w:tcW w:w="385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«25» </w:t>
            </w:r>
          </w:p>
        </w:tc>
        <w:tc>
          <w:tcPr>
            <w:tcW w:w="5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1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proofErr w:type="gramEnd"/>
            <w:r w:rsidRPr="00ED530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916488" w:rsidRPr="00916488" w:rsidRDefault="00916488" w:rsidP="0091648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789"/>
        <w:gridCol w:w="6719"/>
        <w:gridCol w:w="1077"/>
        <w:gridCol w:w="961"/>
      </w:tblGrid>
      <w:tr w:rsidR="00916488" w:rsidRPr="00916488" w:rsidTr="00916488">
        <w:tc>
          <w:tcPr>
            <w:tcW w:w="0" w:type="auto"/>
            <w:gridSpan w:val="4"/>
            <w:vAlign w:val="center"/>
            <w:hideMark/>
          </w:tcPr>
          <w:p w:rsidR="00916488" w:rsidRPr="00ED530B" w:rsidRDefault="00916488" w:rsidP="00ED53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закупок товаров, работ, услуг для обеспечения федеральных нужд на 20 </w:t>
            </w:r>
            <w:r w:rsidRPr="00ED530B">
              <w:rPr>
                <w:rFonts w:ascii="Tahoma" w:eastAsia="Times New Roman" w:hAnsi="Tahoma" w:cs="Tahoma"/>
                <w:b/>
                <w:sz w:val="21"/>
                <w:szCs w:val="21"/>
                <w:u w:val="single"/>
                <w:lang w:eastAsia="ru-RU"/>
              </w:rPr>
              <w:t>18</w:t>
            </w:r>
            <w:r w:rsidRPr="00ED530B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 год </w:t>
            </w:r>
          </w:p>
        </w:tc>
      </w:tr>
      <w:tr w:rsidR="00916488" w:rsidRPr="00ED530B" w:rsidTr="00916488"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916488" w:rsidRPr="00ED530B" w:rsidTr="00916488"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25.09.2018</w:t>
            </w:r>
          </w:p>
        </w:tc>
      </w:tr>
      <w:tr w:rsidR="00916488" w:rsidRPr="00ED530B" w:rsidTr="00916488">
        <w:tc>
          <w:tcPr>
            <w:tcW w:w="0" w:type="auto"/>
            <w:vMerge w:val="restar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0" w:type="auto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22810587 </w:t>
            </w:r>
          </w:p>
        </w:tc>
      </w:tr>
      <w:tr w:rsidR="00916488" w:rsidRPr="00ED530B" w:rsidTr="00916488">
        <w:tc>
          <w:tcPr>
            <w:tcW w:w="0" w:type="auto"/>
            <w:vMerge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3728012600</w:t>
            </w:r>
          </w:p>
        </w:tc>
      </w:tr>
      <w:tr w:rsidR="00916488" w:rsidRPr="00ED530B" w:rsidTr="00916488">
        <w:tc>
          <w:tcPr>
            <w:tcW w:w="0" w:type="auto"/>
            <w:vMerge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370201001</w:t>
            </w:r>
          </w:p>
        </w:tc>
      </w:tr>
      <w:tr w:rsidR="00916488" w:rsidRPr="00ED530B" w:rsidTr="00916488"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Федеральные государственные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75104</w:t>
            </w:r>
          </w:p>
        </w:tc>
      </w:tr>
      <w:tr w:rsidR="00916488" w:rsidRPr="00ED530B" w:rsidTr="00916488"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</w:tr>
      <w:tr w:rsidR="00916488" w:rsidRPr="00ED530B" w:rsidTr="00916488"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24701000001</w:t>
            </w:r>
          </w:p>
        </w:tc>
      </w:tr>
      <w:tr w:rsidR="00916488" w:rsidRPr="00ED530B" w:rsidTr="00916488"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Иваново г, УЛ ПОЧТОВАЯ, 24 , 7-4932-314905 , u37@r37.nalog.ru</w:t>
            </w:r>
          </w:p>
        </w:tc>
        <w:tc>
          <w:tcPr>
            <w:tcW w:w="0" w:type="auto"/>
            <w:vMerge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16488" w:rsidRPr="00ED530B" w:rsidTr="00916488">
        <w:tc>
          <w:tcPr>
            <w:tcW w:w="0" w:type="auto"/>
            <w:vMerge w:val="restart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измененный (18)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916488" w:rsidRPr="00ED530B" w:rsidTr="00916488">
        <w:tc>
          <w:tcPr>
            <w:tcW w:w="0" w:type="auto"/>
            <w:vMerge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25.09.2018</w:t>
            </w:r>
          </w:p>
        </w:tc>
      </w:tr>
      <w:tr w:rsidR="00916488" w:rsidRPr="00ED530B" w:rsidTr="00916488"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916488" w:rsidRPr="00ED530B" w:rsidTr="00916488">
        <w:tc>
          <w:tcPr>
            <w:tcW w:w="0" w:type="auto"/>
            <w:gridSpan w:val="2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</w:t>
            </w:r>
            <w:r w:rsidRPr="00ED53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ED53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D530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)</w:t>
            </w: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16488" w:rsidRPr="00ED530B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14832199.00</w:t>
            </w:r>
          </w:p>
        </w:tc>
      </w:tr>
    </w:tbl>
    <w:p w:rsidR="00916488" w:rsidRPr="00ED530B" w:rsidRDefault="00916488" w:rsidP="00916488">
      <w:pPr>
        <w:spacing w:after="24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"/>
        <w:gridCol w:w="1232"/>
        <w:gridCol w:w="1667"/>
        <w:gridCol w:w="2612"/>
        <w:gridCol w:w="780"/>
        <w:gridCol w:w="293"/>
        <w:gridCol w:w="694"/>
        <w:gridCol w:w="695"/>
        <w:gridCol w:w="279"/>
        <w:gridCol w:w="315"/>
        <w:gridCol w:w="380"/>
        <w:gridCol w:w="637"/>
        <w:gridCol w:w="250"/>
        <w:gridCol w:w="249"/>
        <w:gridCol w:w="337"/>
        <w:gridCol w:w="343"/>
        <w:gridCol w:w="214"/>
        <w:gridCol w:w="140"/>
        <w:gridCol w:w="1292"/>
        <w:gridCol w:w="401"/>
        <w:gridCol w:w="534"/>
        <w:gridCol w:w="685"/>
        <w:gridCol w:w="534"/>
        <w:gridCol w:w="848"/>
        <w:gridCol w:w="556"/>
        <w:gridCol w:w="417"/>
        <w:gridCol w:w="2420"/>
        <w:gridCol w:w="321"/>
        <w:gridCol w:w="279"/>
        <w:gridCol w:w="417"/>
        <w:gridCol w:w="1762"/>
        <w:gridCol w:w="279"/>
        <w:gridCol w:w="278"/>
      </w:tblGrid>
      <w:tr w:rsidR="0035100A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4279" w:type="dxa"/>
            <w:gridSpan w:val="2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780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293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2363" w:type="dxa"/>
            <w:gridSpan w:val="5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887" w:type="dxa"/>
            <w:gridSpan w:val="2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1283" w:type="dxa"/>
            <w:gridSpan w:val="5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292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935" w:type="dxa"/>
            <w:gridSpan w:val="2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1219" w:type="dxa"/>
            <w:gridSpan w:val="2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848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556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41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2420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32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279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41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1762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279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278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2612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780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93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69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594" w:type="dxa"/>
            <w:gridSpan w:val="2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380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63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250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249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33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557" w:type="dxa"/>
            <w:gridSpan w:val="2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140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1292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534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68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534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848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6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93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380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50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3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140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56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35100A" w:rsidRPr="00ED530B" w:rsidTr="00A640B7">
        <w:tc>
          <w:tcPr>
            <w:tcW w:w="16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6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35100A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</w:t>
            </w:r>
            <w:bookmarkStart w:id="0" w:name="_GoBack"/>
            <w:bookmarkEnd w:id="0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037020100100010041920244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топлива дизельного евро по ГОСТ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 надлежащего качества. Поставщик обеспечивает отпуск товара Заказчику в режиме 24*7 (круглосуточно) по электронным картам через АЗС г. Иваново, АЗС Ивановской области, АЗС г. Владимира, АЗС Владимирской области (включая трассу М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), АЗС г. Костромы, АЗС Костромской области, АЗС г. Москвы, АЗС Московской области, АЗС г. Нижнего Новгорода, АЗС Нижегородской области, АЗС г. Ярославля, АЗС Ярославской области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38690.00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38690.00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38690.00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Постоянно, круглосуточно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по 31.12.2018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386.90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3869.00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Изменение условий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Топливо дизельное евро по ГОСТ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181372801260037020100100020031920244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51866-2002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 надлежащего качества. Поставщик обеспечивает отпуск товара Заказчику в режиме 24*7 (круглосуточно) по электронным картам через АЗС г. Иваново, АЗС Ивановской области, АЗС г. Владимира, АЗС Владимирской области (включая трассу М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), АЗС г. Костромы, АЗС Костромской области, АЗС г. Москвы, АЗС Московской области, АЗС г. Нижнего Новгорода, АЗС Нижегородской области, АЗС г. Ярославля, АЗС Ярославской области.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609450.00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609450.00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609450.00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Постоянно, круглосуточно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по 31.12.2018.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6094.50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60945.00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Изменение условий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Бензин автомобильный неэтилированный Премиум Евро-95 по ГОСТ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51866-2002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181372801260037020100100100016512244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услуги в полном объеме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61665.23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61665.23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61665.23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Постоянно в течение срока действия контракта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29.12.2019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отмена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181372801260037020100100110021712244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Формат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4, Сорт В, Плотность 80 г/м2, Белизна (СIЕ): 150-160 (включая крайние значения), Яркость (ISO): 96-97% (включая крайние значения), Непрозрачность: 91-92% (включая крайние значения), Упаковка: Пачки по 500 листов в коробках по 5 пачек.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236851.42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236851.42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236851.42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календарных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2368.51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11842.57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Использование экономии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Бумага для печати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1299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1299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Бумага для печати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181372801260037020100100130058542244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Получение услуги по дополнительному профессиональному образованию (повышение квалификации) федеральных государственных гражданских служащих в рамках федеральной целевой программы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услуги в полном объеме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57708.00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57708.00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57708.00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по 31.12.2018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Отмена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дополнительному профессиональному образованию прочие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181372801260037020100100140060000244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51866-2002 и топлива дизельного евро по ГОСТ Р 52368-2005 через АЗС, включая АЗС партнеров, по электронным картам для нужд УФНС России по Ивановской области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736815.00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659785.50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659785.50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по 31.12.2018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7368.15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73681.50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с октановым числом более 92, но не более 95 по исследовательскому методу вне классов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Тысяча литров;^1000 литров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13.5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13.5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Топливо дизельное межсезонное вне классов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Тысяча литров;^1000 литров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0.45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0.45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181372801260037020100100150070000244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Товар надлежащего качества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69326.06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69326.06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69326.06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календарных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693.26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3466.30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Маркеры-текстовыделители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Ручка шариковая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Ручка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гелевая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Зажим для бумаг (19 мм)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Зажим для бумаг (25 мм)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Термобумага для факс-аппаратов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Бумага офисная А3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Салфетки универсальные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Бумага для записей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Бумага для заметок в блоке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Скоросшиватель бумажный "Дело"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2395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2395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Клей-карандаш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Корректирующая жидкость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Ластик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Резинки универсальные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Клейкая лента скотч (19мм)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Клейкая лента скотч (50мм)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Скотч двусторонний (19мм)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Скотч двусторонний (50мм)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Корзина для бумаг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Подставка для пишущих принадлежностей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Дырокол (на 12 листов)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Степлер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№ 10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Точилка для карандашей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Линейка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Товар надлежащего качества согласно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Папка-уголок, А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Кнопки гвоздики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Файлы-вкладыши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степлера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№ 10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степлера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№ 24/6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Скобы для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степлера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№ 23/3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Зажим для бумаг (51 мм)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Скрепки никелированные, 28 мм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Скрепки оцинкованные, 50 мм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Упаковка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778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6503B8">
        <w:trPr>
          <w:trHeight w:val="566"/>
        </w:trPr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181372801260037020100100160080000242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расходных материалов и комплектующих для СВТ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176887.75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176887.75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176887.75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календарных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1768.88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8844.39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В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соответствии с Постановлением № 968 установлены ограничения и условия допуска отдельных видов радиоэлектронной продукции, включенных в перечень, утвержденный Постановлением № 968, и происходящих из иностранных государств, для целей осуществления закупок для обеспечения государственных и муниципальных нужд.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пунктом 2 Постановления № 968 для целей осуществления закупок отдельных видов радиоэлектронной продукции, включенных в перечень, Заказчик отклоняет все заявки, содержащие предложения о поставке отдельных видов радиоэлектронной продукции, включенных в перечень и происходящих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закупке заявок, которые одновременно: - содержат предложения о поставке отдельных видов радиоэлектронной продукции, включенных в перечень и производимых на территории Российской Федерации; - не содержат предложений о поставке одного и того же вида радиоэлектронной продукции одного производителя. В соответствии с пунктом 4 Постановления №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968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случае если заявка, которая содержит предложение о поставке отдельных видов радиоэлектронной продукции, включенных в перечень и происходящих из иностранных государств, не отклоняется в соответствии с установленными Постановлением № 968 ограничениями,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Минэкономразвития России (Приказ Минэкономразвития России от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25.03.2014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нужд»).</w:t>
            </w:r>
            <w:proofErr w:type="gramEnd"/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для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FS-6525MFP, tk475 или эквивалент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Товар надлежащего качества согласно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Блок закрепления отпечатков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FK-171 (fk171) (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Термоблок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) для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ECOSYS M2035dn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Фотобарабан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DrumUnit</w:t>
            </w:r>
            <w:proofErr w:type="spellEnd"/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DK-170 для принтера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KyoceraEcosys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P2135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Тонер-картридж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XeroxVersaLink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B7030, 106R03396 оригинальный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Тонер-картридж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Xerox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3345, 106R03623 оригинальный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для принтера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SamsungProXpress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M4020ND, MLT-D203U оригинальный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Контроллер RAID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Блок питания тип 1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Блок питания тип 2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Жесткий диск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Комплект оригинальных расходных материалов для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Brother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HL-4150CDN в составе: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Brother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TN-325BK Картридж,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Black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;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Brother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TN-325С Картридж,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Cyan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;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Brother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TN-325М Картридж,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Magenta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;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Brother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TN-325Y Картридж,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Yellow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Комплект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839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Комплект оригинальных расходных материалов для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ECOSYS M6026cdn в составе: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Kyocera-Mita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TK-590K(B) Картридж,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Black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;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Kyocera-Mita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TK-590Y Картридж,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Yellow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;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Kyocera-Mita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TK-590М Картридж,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Magenta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;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Kyocera-Mita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TK-590М Картридж,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Magenta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Комплект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839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для принтера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FS-6970DN, tk450 или эквивалент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для принтера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Samsung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SL-M3820ND, MLT-D203E или эквивалент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для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FS-3140MFP+, tk350 или эквивалент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Тонер-Картридж 370АВ000 для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KM-3035 или эквивалент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для принтера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KyoceraEcosys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P2135, tk-170 или эквивалент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 согласно 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Комплект картриджей для принтера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Samsung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CLP-325 CLT-K407S черный, CLT-C407S синий, CLT-M407S пурпурный, CLT-Y407S желтый или эквивалент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Товар надлежащего качества согласно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техническому заданию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Комплект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839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181372801260037020100100170093511244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181372801260037020100100170253511244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40.0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постоянно, круглосуточно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01.11.2018 по 31.12.2018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Перераспределение денежных средств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Оказание услуг по поставке электроэнергии в полном объеме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181372801260037020100100180100620244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460394.23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460394.23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460394.23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Газ горючий природный (газ естественный)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181372801260037020100100180290620244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160000.00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160000.00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160000.00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подписания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по 31.12.2018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Исправление сведений о способе определения поставщика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181372801260037020100100190113600244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Вода питьевая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181372801260037020100100200128121244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951000.00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951000.00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951000.00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9510.00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47550.00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общей уборке зданий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181372801260037020100100210138110244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обслуживанию здания, инженерно-технических систем и оборудования административного здания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УФНС России по Ивановской области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1175000.00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1175000.00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1175000.00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11750.00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58750.00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обслуживанию помещений комплексные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181372801260037020100100220144520244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диагностике, техническому обслуживанию и ремонту автотранспортных сре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дств дл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я обеспечения государственных нужд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200000.00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2000.00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20000.00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регламентным работам (по видам технического обслуживания)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181372801260037020100100230156110242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связи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4236000.00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4236000.00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4236000.00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Централизация закупки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Оказание услуг в полном объеме,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181372801260037020100100240172620242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сканеров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двухмерного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штрих-кода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116789.92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116789.92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116789.92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Сроки передачи Оборудования с учетом его доставки: не позднее 20 (двадцати) календарных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Контракта. 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5839.50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В соответствии с постановлением Правительства от 26.09.2016 № 968 (далее - Постановление № 968) установлены ограничения и условия допуска отдельных видов радиоэлектронной продукции, включенных в перечень, утвержденный Постановлением № 968, и происходящих из иностранных государств, для целей осуществления закупок для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обеспечения государственных и муниципальных нужд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Сканеры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двухмерного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штрих-кода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Тип сканера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2D-Imager; Тип штрих кодов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1D, 2D (чтение штрих кодов PDF); Источник света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светодиодный; Вес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кг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не более 0,2; Минимальное разрешение кода: не более 10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mil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для 2 D; Наличие дополнительных модулей и интерфейсов (сетевой интерфейс, устройства чтения карт памяти и т.д.)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USB-HID (поддержка эмуляции клавиатуры); Устойчивость к внешним воздействиям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Защита от пыли; выдерживать множественные падения с высоты не менее 1,0 м на бетон; Поддержка работы в ЕГАИС/ФГИС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Наличие.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Сканеры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двухмерногоштрих-кода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Тип сканера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2D-Imager; Тип штрих кодов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1D, 2D (чтение штрих кодов PDF); Источник света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светодиодный; Вес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кг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не более 0,2; Минимальное разрешение кода: не более 10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mil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для 2 D; Наличие дополнительных модулей и интерфейсов (сетевой интерфейс, устройства чтения карт памяти и т.д.)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USB-HID (поддержка эмуляции клавиатуры); Устойчивость к внешним воздействиям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Защита от пыли; выдерживать множественные падения с высоты не менее 1,0 м на бетон; Поддержка работы в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ЕГАИС/ФГИС </w:t>
            </w:r>
            <w:r w:rsidRPr="00ED530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─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Наличие.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19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181372801260037020100100250185819244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почтовых маркированных конвертов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90000.00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Срок поставки: в течение 5 (Пяти) календарных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государственного контракта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900.00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9000.00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Конверт почтовый маркированный с литерой "А"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Размер 110мм*220мм, без окна, с адресной сеткой "Куда-кому", с верхним клапаном, с силиконовой лентой)</w:t>
            </w:r>
            <w:proofErr w:type="gramEnd"/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181372801260037020100100260195819244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государственных знаков почтовой оплаты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Почтовая марка номиналом 0,50 руб. - 1000 шт., почтовая марка номиналом 1,00 руб. - 600 штук; почтовая марка номиналом 3,00 руб. - 600 штук; почтовая марка номиналом 4,00 руб. - 400 штук; почтовая марка номиналом 5,00 руб. - 600 штук; почтовая марка номиналом 6,00 руб. - 600 штук; почтовая марка номиналом 10,00 руб. - 600 штук; почтовая марка номиналом 19,00 руб. - 430 штук;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почтовая марка номиналом 25,00 руб. - 240 штук; почтовая марка номиналом 37,00 руб. - 430 штук.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47180.00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47180.00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47180.00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Период поставки: в течение 5 (Пяти) рабочих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государственного контракта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Марки почтовые негашеные, гербовые и аналогичные марки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Комплект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839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181372801260037020100100270225310244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почтовой связи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12274750.00/408.66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12274750.00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12274750.00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122747.50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1227475.00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Услуги по пересылке простого письма до 100гр., услуги по пересылке заказного письма до 100гр.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,у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слуги по пересылке заказного письма с уведомлением до 100гр., услуги по пересылке простой бандероли (весом от 100гр. до 2кг), услуги по пересылке заказной бандероли с уведомлением (весом от 100гр. до 2кг).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181372801260037020100100280206120242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подвижной радиотелефонной связи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Телефонные соединения на местных операторов связи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256200.00/1.80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256200.00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256200.00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25620.00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подвижной связи в выделенных радиосетях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Телефонные соединения на местных операторов связи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Минута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355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181372801260037020100100290216399242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сопровождению справочно-правовых систем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555433.00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555433.00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555433.00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 по 31.12.2019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27771.65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Сборники фактов/информации оригинальные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181372801260037020100100300242651244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Прибор учета холодной воды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39295.48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39295.48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39295.48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рабочих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1964.77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Прибор учета холодной воды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181372801260037020100100310230000244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электротоваров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37222.25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37222.25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37222.25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рабочих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3722.23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В соответствии с Постановлением № 968 установлены ограничения и условия допуска отдельных видов радиоэлектронной продукции, включенных в перечень, утвержденный Постановлением № 968, и происходящих из иностранных государств, для целей осуществления закупок для обеспечения государственных и муниципальных нужд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.В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соответствии с пунктом 2 Постановления № 968 для целей осуществления закупок отдельных видов радиоэлектронной продукции, включенных в перечень, Заказчик отклоняет все заявки, содержащие предложения о поставке отдельных видов радиоэлектронной продукции, включенных в перечень и происходящих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заявок, которые одновременно: - содержат предложения о поставке отдельных видов радиоэлектронной продукции, включенных в перечень и производимых на территории Российской Федерации; - не содержат предложений о поставке одного и того же вида радиоэлектронной продукции одного производителя. В соответствии с пунктом 4 Постановления №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968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случае если заявка, которая содержит предложение о поставке отдельных видов радиоэлектронной продукции, включенных в перечень и происходящих из иностранных государств, не отклоняется в соответствии с установленными Постановлением № 968 ограничениями,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Минэкономразвития России (Приказ Минэкономразвития России от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25.03.2014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нужд»).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Лампа светодиодная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Лампа светодиодная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Уличный светильник-шар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181372801260037020100100320263530244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Теплоснабжение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90000.00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90000.00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90000.00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Постоянно, круглосуточно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 по 31.12.2018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Уточнение срока поставки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тепловыми электроцентралями (ТЭЦ)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Оказание услуг в полном объеме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181372801260037020100100330272825244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Пставка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сплит-системы</w:t>
            </w:r>
            <w:proofErr w:type="spellEnd"/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89566.67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89566.67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89566.67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20 календарных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государственного контракта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4478.33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Кондиционеры бытовые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Товар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28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181372801260037020100100340280000242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компьютерного и телекоммуникационного оборудования, расходных материалов и комплектующих для СВТ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117330.00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117330.00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117330.00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течение 10 календарных дней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 даты заключения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контракта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5866.50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В соответствии с Постановлением № 968 установлены ограничения и условия допуска отдельных видов радиоэлектронной продукции, включенных в перечень, утвержденный Постановлением № 968, и происходящих из иностранных государств, для целей осуществления закупок для обеспечения государственных и муниципальных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нужд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.В</w:t>
            </w:r>
            <w:proofErr w:type="spellEnd"/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соответствии с пунктом 4 Постановления № 968, в случае если заявка, которая содержит предложение о поставке отдельных видов радиоэлектронной продукции, включенных в перечень и происходящих из иностранных государств, не отклоняется в соответствии с установленными Постановлением № 968 ограничениями,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Минэкономразвития России (Приказ Минэкономразвития России от 25.03.2014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№155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иных обстоятельств, предвидеть которые на дату утверждения плана-графика закупок было невозможно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Исправление технической ошибки (опечатки)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лазерный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Samsung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MLT-D203E для принтера SAMSUNG SL-M4020ND оригинальный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Тонер-картридж 106R03396 для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XeroxVersaLink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B7030, оригинальный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лазерный Q5949X для принтера HP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LaserJet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1320 или эквивалент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Тонер-картридж TK-475 для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FS-6525MFP или эквивалент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Тонер-картридж TK-450 для принтера ECOSYS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FS-6970DN или эквивалент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лазерный TK-170 для принтера ECOSYS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P2135dn или эквивалент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лазерный TK-1140 для МФУ ECOSYS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M2035dn или эквивалент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лазерный TK-715 для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Kyocera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KM 3050 или эквивалент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Тонер-картридж 006R01046 для МФУ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Xerox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WORKCENTRE 5745 или эквивалент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Тонер-картридж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Brother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TN-325BK для принтера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Brother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HL-4150CDN или эквивалент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лазерный Q7551X для принтера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HewlettPackardLaserJet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P3005d или эквивалент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 лазерный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Samsung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MLT-D105S для принтера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Samsung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SL-M3820ND или эквивалент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Внешний бокс для SATA дисков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Блок питания для персонального компьютера - 450 Вт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USB-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флеш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накопитель - 32 ГБ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USB Жесткий диск внешний -1 ТБ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Коммутатор (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Хаб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) на 8 портов (1000base)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USB KVM на 2 компьютера {Переключатель KVM с 2 портами USB (клавиатура, монитор и мышь)}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Кабель USB 2.0 удлинительный A - &gt; A 1.8 метра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Модуль оперативной памяти DDR2-800 (PC2-6400) 2GB SO-DIMM [PSD22G8002S]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Батарейка KTS CR2032w CR2032, 3V, </w:t>
            </w:r>
            <w:proofErr w:type="spell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биос</w:t>
            </w:r>
            <w:proofErr w:type="spell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 проводами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Источник бесперебойного питания 3000 ВА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181372801260037020100100350304321244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текущему ремонту кабельных инженерных систем в административном здании УФНС России по Ивановской области по адресу: г. Иваново, ул.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Палехская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д. 1/2 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работ в полном объеме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4225325.00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4225325.00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4225325.00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государственного контракта до 15.12.2018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42253.25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211266.25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текущему ремонту кабельных инженерных систем в административном здании УФНС России по Ивановской области по адресу: г. Иваново, ул. </w:t>
            </w:r>
            <w:proofErr w:type="gramStart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Палехская</w:t>
            </w:r>
            <w:proofErr w:type="gramEnd"/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 д. 1/2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181372801260037020100100360312899244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 монтаж системы видеонаблюдения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товара надлежащего качества с выполнением монтажа в полном объеме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1469201.00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1469201.00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1469201.00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С момента заключения государственного контракта до 15.12.2018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14692.01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73460.05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 монтаж системы видеонаблюдения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181372801260037020100100370322899244</w:t>
            </w:r>
          </w:p>
        </w:tc>
        <w:tc>
          <w:tcPr>
            <w:tcW w:w="1667" w:type="dxa"/>
            <w:vMerge w:val="restart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и монтаж системы контроля управления доступом 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 надлежащего качества и выполнение монтажа в полном объеме надлежащего качества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270409.00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270409.00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270409.00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государственного контракта по 15.12.2018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13520.45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КС 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6503B8" w:rsidRPr="00ED530B" w:rsidTr="00A640B7">
        <w:tc>
          <w:tcPr>
            <w:tcW w:w="165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667" w:type="dxa"/>
            <w:vMerge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 монтаж системы контроля управления доступом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16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279" w:type="dxa"/>
            <w:gridSpan w:val="2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896206.93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896206.93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Использование в соответствии с законодательством Российской Федерации экономии, полученной при осуществлении закупки</w:t>
            </w: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181372801260037020100100120060000000</w:t>
            </w:r>
          </w:p>
        </w:tc>
        <w:tc>
          <w:tcPr>
            <w:tcW w:w="166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6503B8" w:rsidRPr="00ED530B" w:rsidTr="00A640B7">
        <w:tc>
          <w:tcPr>
            <w:tcW w:w="16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181372801260037020100100120160000000</w:t>
            </w:r>
          </w:p>
        </w:tc>
        <w:tc>
          <w:tcPr>
            <w:tcW w:w="166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61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896206.93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896206.93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5675" w:type="dxa"/>
            <w:gridSpan w:val="4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30520976.78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31340154.21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9191376.98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22148777.23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35100A" w:rsidRPr="00ED530B" w:rsidTr="00A640B7">
        <w:tc>
          <w:tcPr>
            <w:tcW w:w="5675" w:type="dxa"/>
            <w:gridSpan w:val="4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7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29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9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69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5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3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3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29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85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4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56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420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1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7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62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9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78" w:type="dxa"/>
            <w:vAlign w:val="center"/>
            <w:hideMark/>
          </w:tcPr>
          <w:p w:rsidR="00916488" w:rsidRPr="00ED530B" w:rsidRDefault="00916488" w:rsidP="006503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D530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916488" w:rsidRPr="00916488" w:rsidRDefault="00916488" w:rsidP="0091648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9"/>
        <w:gridCol w:w="10207"/>
        <w:gridCol w:w="1020"/>
        <w:gridCol w:w="4084"/>
        <w:gridCol w:w="1021"/>
        <w:gridCol w:w="4085"/>
      </w:tblGrid>
      <w:tr w:rsidR="00916488" w:rsidRPr="005B2D7C" w:rsidTr="00916488"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25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Баранова В. В. </w:t>
            </w:r>
          </w:p>
        </w:tc>
      </w:tr>
      <w:tr w:rsidR="00916488" w:rsidRPr="005B2D7C" w:rsidTr="00916488"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916488" w:rsidRPr="005B2D7C" w:rsidTr="00916488"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16488" w:rsidRPr="00916488" w:rsidRDefault="00916488" w:rsidP="0091648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7"/>
        <w:gridCol w:w="216"/>
        <w:gridCol w:w="647"/>
        <w:gridCol w:w="215"/>
        <w:gridCol w:w="646"/>
        <w:gridCol w:w="215"/>
        <w:gridCol w:w="18960"/>
      </w:tblGrid>
      <w:tr w:rsidR="00916488" w:rsidRPr="005B2D7C" w:rsidTr="00916488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«25» </w:t>
            </w:r>
          </w:p>
        </w:tc>
        <w:tc>
          <w:tcPr>
            <w:tcW w:w="5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End"/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</w:p>
        </w:tc>
      </w:tr>
    </w:tbl>
    <w:p w:rsidR="00916488" w:rsidRPr="00916488" w:rsidRDefault="00916488" w:rsidP="0091648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219" w:type="pct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"/>
        <w:gridCol w:w="1192"/>
        <w:gridCol w:w="4309"/>
        <w:gridCol w:w="855"/>
        <w:gridCol w:w="1736"/>
        <w:gridCol w:w="3342"/>
        <w:gridCol w:w="3783"/>
        <w:gridCol w:w="4264"/>
        <w:gridCol w:w="468"/>
        <w:gridCol w:w="657"/>
        <w:gridCol w:w="1084"/>
        <w:gridCol w:w="63"/>
        <w:gridCol w:w="324"/>
        <w:gridCol w:w="184"/>
      </w:tblGrid>
      <w:tr w:rsidR="00916488" w:rsidRPr="00916488" w:rsidTr="005B2D7C">
        <w:trPr>
          <w:gridAfter w:val="1"/>
          <w:wAfter w:w="42" w:type="pct"/>
        </w:trPr>
        <w:tc>
          <w:tcPr>
            <w:tcW w:w="4958" w:type="pct"/>
            <w:gridSpan w:val="13"/>
            <w:vAlign w:val="center"/>
            <w:hideMark/>
          </w:tcPr>
          <w:p w:rsidR="00916488" w:rsidRPr="005B2D7C" w:rsidRDefault="00916488" w:rsidP="005B2D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5B2D7C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</w:t>
            </w:r>
          </w:p>
        </w:tc>
      </w:tr>
      <w:tr w:rsidR="005B2D7C" w:rsidRPr="005B2D7C" w:rsidTr="005B2D7C">
        <w:trPr>
          <w:gridAfter w:val="1"/>
          <w:wAfter w:w="42" w:type="pct"/>
        </w:trPr>
        <w:tc>
          <w:tcPr>
            <w:tcW w:w="3434" w:type="pct"/>
            <w:gridSpan w:val="7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1052" w:type="pct"/>
            <w:gridSpan w:val="2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gridSpan w:val="3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72" w:type="pct"/>
            <w:vMerge w:val="restar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</w:tr>
      <w:tr w:rsidR="005B2D7C" w:rsidRPr="005B2D7C" w:rsidTr="005B2D7C">
        <w:trPr>
          <w:gridAfter w:val="1"/>
          <w:wAfter w:w="42" w:type="pct"/>
        </w:trPr>
        <w:tc>
          <w:tcPr>
            <w:tcW w:w="3434" w:type="pct"/>
            <w:gridSpan w:val="7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1052" w:type="pct"/>
            <w:gridSpan w:val="2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gridSpan w:val="3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" w:type="pct"/>
            <w:vMerge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265" w:type="pct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958" w:type="pct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90" w:type="pct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386" w:type="pct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743" w:type="pct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789" w:type="pct"/>
            <w:gridSpan w:val="2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250" w:type="pct"/>
            <w:gridSpan w:val="2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41" w:type="pct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27" w:type="pct"/>
            <w:gridSpan w:val="3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181372801260037020100100010041920244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топлива дизельного евро по ГОСТ 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38690.00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Стоимость 1 л дизельного топлива согласно коммерческим предложениям, сопоставимым с условиями закупки, составила: 39,00 руб. (поставщик N 1), 38,27 руб. (поставщик N 2), 38,80 руб. (поставщик N 3). Количество: 1 000 л НМЦК = (39,00+38,27+38,80)/3*1000 = 38 690 руб. 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1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181372801260037020100100020031920244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51866-2002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609450.00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Стоимость 1 л бензина согласно коммерческим предложениям, сопоставимым с условиями закупки, составила: 40,80 руб. (поставщик N 1), 40,09 руб. (поставщик N 2), 41,00 руб. (поставщик N 3). Количество: 15 000 л НМЦК = (40,80+40,09+ 41,00)/3*15000 = 609450руб. 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1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181372801260037020100100100016512244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Обязательное страхование гражданской ответственности владельцев транспортных средств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61665.23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См. приложенный файл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ст. 72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181372801260037020100100110021712244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бумаги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236851.42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1 пачки бумаги для офисной техники формата А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согласно коммерческим предложениям, сопоставимым с условиями закупки, составила: 210,35 руб. (поставщик N 1), 205,62 руб. (поставщик N 2), 216 руб. (поставщик N 3). Количество: 1300 пачек НМЦК: (210,35+205,62+216)/3*1300 = 273 858 руб. 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ч.1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181372801260037020100100130058542244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Получение услуги по дополнительному профессиональному образованию (повышение квалификации) федеральных государственных гражданских служащих в рамках федеральной целевой программы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57708.00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услуги согласно ценовым предложениям, сопоставимым с условиями закупки, составила: 58000 руб. (исполнитель N 1), 59000 руб. (исполнитель N 2), 57708 руб. (исполнитель N 3). Контракт предполагается заключить по наименьшей цене.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 4 ч. 1 ст. 93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181372801260037020100100140060000244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51866-2002 и топлива дизельного евро по ГОСТ Р 52368-2005 через АЗС, включая АЗС партнеров, по электронным картам для нужд УФНС России по Ивановской области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736815.00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1 л бензина согласно коммерческим предложениям, сопоставимым с условиями закупки, составила: 49,58 руб. (поставщик № 1), 46,30 руб. (поставщик № 2), 46,75 руб. (поставщик № 3). Количество: 15000 л. НМЦК бензина: (49,58 +46,30 +46,75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)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/3 *15000 = 713 100 руб. Стоимость 1 л дизельного топлива согласно коммерческим предложениям, сопоставимым с условиями закупки, составила: 48,08 руб. (поставщик № 1), 47,20 руб. (поставщик № 2), 47,00 руб. (поставщик № 3). Количество: 500 л НМЦК </w:t>
            </w:r>
            <w:proofErr w:type="spellStart"/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диз</w:t>
            </w:r>
            <w:proofErr w:type="spell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топлива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: (48,08+47,20+ 47,00)/3*500 = 23 715 руб. НМЦК: 713 100 +23 715 = 736 815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2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181372801260037020100100150070000244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69326.06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НМЦК приведен в приложении № 2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181372801260037020100100160080000242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расходных материалов и комплектующих для СВТ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176887.75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НМЦК приведен в приложении № 1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181372801260037020100100170093511244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Утвержденный тариф – 6,069 руб./кВт. Объем - 321304,99 кВт в год. НМЦК: 6,069*329543,58 = 2 000 000 руб. 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поставщика </w:t>
            </w: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п. 29 ч. 1 ст. 93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181372801260037020100100170253511244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электрической энергии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Утвержденный тариф – 6,069 руб./кВт. Объем - 65908,72 кВт в год. НМЦК: 6,069*65908,72 = 400 000 руб. 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п.29 ч.1 ст. 93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181372801260037020100100180100620244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460394.23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Утвержденный тариф – 6577,06 руб./тыс.н. м³. Объем - 70 тыс.н. м³ в год.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НМЦК: 6577,06 * 70 = 460 394,23 руб. 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п. 8 ч. 1 ст. 93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181372801260037020100100180290620244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160000.00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Утвержденный тариф – 6577,06 руб./тыс.н. м³. Объем - 24,327 тыс.н. м³ в год.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НМЦК: 6577,06 * 24,327 = 160 000 руб. 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п. 8 ч. 1 ст. 93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181372801260037020100100190113600244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Утвержденный тариф на 2 полугодие 2018 г. на водоснабжение – 20,47 руб./м³, на водоотведение – 15,24 руб./м³. Объем - 1120,13 м³ в год. НМЦК: (20,47+15,24)* 1120,13 = 40 000 руб. НМЦК: (16,92+11,45+20,47+15,24)/2* 1248,44 = 40 000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п. 8 ч. 1 ст. 93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181372801260037020100100200128121244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951000.00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1 услуги согласно коммерческим предложениям, сопоставимым с условиями закупки, составила: 945000 руб. (исполнитель №1), 1050000 руб. (исполнитель №2), 858000 руб. (исполнитель №3). НМЦК: (945000+1050000 +858000)/3 = 951000 руб. В соответствии с доведенными ЛБО НМЦК составляет 951000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181372801260037020100100210138110244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1175000.00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1 услуги согласно коммерческим предложениям, сопоставимым с условиями закупки, составила: 1161000 руб. (исполнитель №1), 1205000 руб. (исполнитель №2), 1159000 руб. (исполнитель №3). НМЦК: (1161000+1205000 +1159000)/3 = 1 175 000 руб. В соответствии с доведенными ЛБО НМЦК составляет 1 175 000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181372801260037020100100220144520244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диагностике, техническому обслуживанию и ремонту автотранспортных сре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дств дл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я обеспечения государственных нужд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Расчет НМЦК приведен в приложении № 3. 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2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181372801260037020100100230156110242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связи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4236000.00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Утвержденный тариф на ГТС предоставление в пользование PRI порта – 21240 руб./мес., кол-во портов – 5; ГТС предоставление цифрового канала связи – 15576 руб./мес., кол-во каналов – 5; ГТС </w:t>
            </w:r>
            <w:proofErr w:type="spell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индивид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.а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бон.линия</w:t>
            </w:r>
            <w:proofErr w:type="spell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– 247,80 руб./мес., кол-во линий - 6; ГТС местные ТС </w:t>
            </w:r>
            <w:proofErr w:type="spell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абон.плата</w:t>
            </w:r>
            <w:proofErr w:type="spell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– 1682,4 </w:t>
            </w:r>
            <w:proofErr w:type="spell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руб</w:t>
            </w:r>
            <w:proofErr w:type="spell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кол-во ТС – 1; ГТС местные ТС – 82,60 руб., кол-во ТС – 1; ГТС </w:t>
            </w:r>
            <w:proofErr w:type="spell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индивид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.а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бон.линия</w:t>
            </w:r>
            <w:proofErr w:type="spell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– 8673 руб., кол-во линий – 1; ГТС </w:t>
            </w:r>
            <w:proofErr w:type="spell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индивид.абон.линия</w:t>
            </w:r>
            <w:proofErr w:type="spell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 </w:t>
            </w:r>
            <w:proofErr w:type="spell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повр.платой</w:t>
            </w:r>
            <w:proofErr w:type="spell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– 6195 руб., кол-во линий – 1; на местные телефонные соединения – 0,54 руб./мин.; на внутризоновые телефонные соединения автоматическим способом – 2,53 руб./мин.; на внутризоновые телефонные 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соединения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на коды DEF – 1,77 руб./мин. Кол-во внутризоновых телефонных соединений автоматическим способом – 264820,08 мин., кол-во внутризоновых телефонных соединений на коды DEF – 484000 мин., кол-во местных телефонных соединений – 95600 мин. НМЦК: (21240*5+15576*5+247,8*6+1682,4+82,6+8673+6195)*12+2,53 *264820,08+1,77*484000+0,54*95600 = 4 236 000 руб. Количество внутризоновых телефонных соединений автоматическим способом – 21000 мин., количество внутризоновых телефонных соединений на коды DEF – 1188,7 мин. НМЦК: (21240+15576+247,8)*12+2,53 *21000+1,77*1188,7 = 500 000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п. 1 ч. 1 ст. 93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181372801260037020100100240172620242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сканеров 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двухмерного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штрих-кода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116789.92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См. приложенный файл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2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181372801260037020100100250185819244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почтовых маркированных конвертов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См. приложенный файл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2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181372801260037020100100260195819244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государственных знаков почтовой оплаты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47180.00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См. приложенный файл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 1 ч. 1 ст. 93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181372801260037020100100270225310244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почтовой связи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12274750.00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См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.п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риложенный файл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ч.2 ст.59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181372801260037020100100280206120242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подвижной радиотелефонной связи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256200.00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1 мин. телефонных соединений согласно коммерческим предложениям, сопоставимым с условиями закупки, составила: 1,80 руб. (исполнитель № 1), 1,80 руб. (исполнитель № 2). Средняя цена единицы услуги: 1,80+1,80/2= 1,80 руб. Объем услуг связи в соответствии со ст.42 Федерального закона № 44-ФЗ невозможно определить. НМЦК устанавливается 256200,00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ч.2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181372801260037020100100290216399242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сопровождению справочно-правовых систем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555433.00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1 пакета услуг согласно коммерческим предложениям, сопоставимым с условиями закупки, составила: 79347,60 руб. (исполнитель № 1), 79347,60 руб. (исполнитель № 2). Кол-во пакетов услуг – 7. НМЦК: 79347,60+79347,60/2*12*7 = 555433,20. В соответствии с доведенными ЛБО НМЦК составляет 555 433,00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ч.2 ст.59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181372801260037020100100300242651244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Прибор учета холодной воды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39295.48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счетчика согласно коммерческим предложениям, сопоставимым с условиями закупки, составила: 39415,00 руб. (поставщик № 1), 42400,00 руб. (поставщик № 2), 42400,00 руб. (поставщик № 3), 39435,00 руб. (поставщик № 4), 40870,00 руб. (поставщик № 5). Количество: 1 штука. НМЦК: (39415,00 +42400,00 +42400,00 +39435,00 +40870,00)/5 = 40904,00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181372801260037020100100310230000244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электротоваров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37222.25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НМЦК приведен в приложении № 5.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181372801260037020100100320263530244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Теплоснабжение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90000.00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Утвержденный тариф на теплоноситель: 27,13 руб./куб.м., количество теплоносителя – 69,908 куб. м.; утвержденный тариф на тепловую энергию: 1630,91 руб./Гкал, количество тепловой энергии – 54,021 Гкал.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НМЦК: 69,908*27,13+54,021*1630,91= 90000,00 руб. 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п.8 ч.1 ст.93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181372801260037020100100330272825244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spell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Пставка</w:t>
            </w:r>
            <w:proofErr w:type="spell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сплит-системы</w:t>
            </w:r>
            <w:proofErr w:type="spellEnd"/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89566.67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Стоимость </w:t>
            </w:r>
            <w:proofErr w:type="spell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сплит-системы</w:t>
            </w:r>
            <w:proofErr w:type="spell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согласно </w:t>
            </w:r>
            <w:proofErr w:type="spellStart"/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spellEnd"/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коммерческим предложениям, сопоставимым с условиями закупки, составила: 87000,00 (поставщик № 1), 90200,00 (поставщик № 2), 91500,00 (поставщик № 3). Количество – 1 штука. НМЦК: (87000,00+90200,00+94500,00)/ 3=89566,67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2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181372801260037020100100340280000242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компьютерного и телекоммуникационного оборудования, расходных материалов и комплектующих для СВТ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117330.00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Расчет НМЦК приведен в приложении № 6.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ч. 2 ст. 59 Федерального закона № 44-ФЗ 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181372801260037020100100350304321244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текущему ремонту кабельных инженерных систем в административном здании УФНС России по Ивановской области по адресу: г. Иваново, ул. 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Палехская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, д. 1/2 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4225325.00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работ согласно коммерческим предложениям, сопоставимым с условиями закупки, составила: 4225325,00. (подрядчик № 1), 4000000,00 руб. (подрядчик № 2), 4450650,00 руб. (подрядчик № 3). НМЦК: (4225325,00+ 4000000,00+4450650,00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)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/3 = 4225325,00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2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181372801260037020100100360312899244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и монтаж системы видеонаблюдения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1469201.00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системы видеонаблюдения с монтажом согласно коммерческим предложениям, сопоставимым с условиями закупки, составила: 1884237,00 руб. (поставщик № 1), 1469201,00 руб. (поставщик № 2), 1054165,00 руб. (поставщик № 3), 1469201,00 (поставщик № 4). Количество: 1 система НМЦК: (1884237,00 + 1469201,00 +1054165,00+1469201,00)/4* 1 = 1469201,00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2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181372801260037020100100370322899244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и монтаж системы контроля управления доступом 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270409.00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Стоимость системы контроля и управления доступом с монтажом согласно коммерческим предложениям, сопоставимым с условиями закупки, составила: 270409,00 руб. (поставщик № 1), 270409,00 руб. (поставщик № 2), 270409,00 руб. (поставщик № 3) Количество: 1 система НМЦК: (270409,00 + 270409,00 +270409,00</w:t>
            </w:r>
            <w:proofErr w:type="gramStart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)</w:t>
            </w:r>
            <w:proofErr w:type="gramEnd"/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/3* 1 = 270409,00 руб.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ч. 2 ст. 59 Федерального закона № 44-ФЗ</w:t>
            </w: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B2D7C" w:rsidRPr="00916488" w:rsidTr="005B2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265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181372801260037020100100120060000000</w:t>
            </w: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181372801260037020100100120160000000</w:t>
            </w:r>
          </w:p>
        </w:tc>
        <w:tc>
          <w:tcPr>
            <w:tcW w:w="958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90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896206.93</w:t>
            </w:r>
          </w:p>
        </w:tc>
        <w:tc>
          <w:tcPr>
            <w:tcW w:w="386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43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789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16488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Годовой объем закупок соответствует ограничениям, которые установлены в п. 4 ч. 1 ст. 93 Федерального закона № 44-ФЗ</w:t>
            </w:r>
          </w:p>
        </w:tc>
        <w:tc>
          <w:tcPr>
            <w:tcW w:w="250" w:type="pct"/>
            <w:gridSpan w:val="2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241" w:type="pct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7" w:type="pct"/>
            <w:gridSpan w:val="3"/>
            <w:vAlign w:val="center"/>
            <w:hideMark/>
          </w:tcPr>
          <w:p w:rsidR="00916488" w:rsidRPr="00916488" w:rsidRDefault="00916488" w:rsidP="005B2D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916488" w:rsidRPr="00916488" w:rsidRDefault="00916488" w:rsidP="00916488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269"/>
        <w:gridCol w:w="215"/>
        <w:gridCol w:w="1521"/>
        <w:gridCol w:w="1508"/>
        <w:gridCol w:w="754"/>
        <w:gridCol w:w="105"/>
        <w:gridCol w:w="3091"/>
        <w:gridCol w:w="105"/>
        <w:gridCol w:w="368"/>
        <w:gridCol w:w="368"/>
        <w:gridCol w:w="242"/>
      </w:tblGrid>
      <w:tr w:rsidR="00916488" w:rsidRPr="005B2D7C" w:rsidTr="0091648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Пучков Андрей Альбертович, Заместитель руководителя</w:t>
            </w:r>
          </w:p>
        </w:tc>
        <w:tc>
          <w:tcPr>
            <w:tcW w:w="5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«25»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End"/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916488" w:rsidRPr="005B2D7C" w:rsidTr="00916488"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6488" w:rsidRPr="005B2D7C" w:rsidTr="00916488"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6488" w:rsidRPr="005B2D7C" w:rsidTr="00916488"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6488" w:rsidRPr="005B2D7C" w:rsidTr="0091648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Баранова Валентина Васильевна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16488" w:rsidRPr="005B2D7C" w:rsidTr="00916488"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B2D7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6488" w:rsidRPr="005B2D7C" w:rsidRDefault="00916488" w:rsidP="009164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700C" w:rsidRDefault="002A700C"/>
    <w:sectPr w:rsidR="002A700C" w:rsidSect="006503B8">
      <w:pgSz w:w="23814" w:h="16839" w:orient="landscape" w:code="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2DE6"/>
    <w:rsid w:val="002A700C"/>
    <w:rsid w:val="0035100A"/>
    <w:rsid w:val="003A7275"/>
    <w:rsid w:val="005B2D7C"/>
    <w:rsid w:val="005F3843"/>
    <w:rsid w:val="006503B8"/>
    <w:rsid w:val="007F544E"/>
    <w:rsid w:val="00916488"/>
    <w:rsid w:val="00A640B7"/>
    <w:rsid w:val="00A8370C"/>
    <w:rsid w:val="00ED530B"/>
    <w:rsid w:val="00FE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4E"/>
  </w:style>
  <w:style w:type="paragraph" w:styleId="1">
    <w:name w:val="heading 1"/>
    <w:basedOn w:val="a"/>
    <w:link w:val="10"/>
    <w:uiPriority w:val="9"/>
    <w:qFormat/>
    <w:rsid w:val="00916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16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488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648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16488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16488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16488"/>
    <w:rPr>
      <w:b/>
      <w:bCs/>
    </w:rPr>
  </w:style>
  <w:style w:type="paragraph" w:styleId="a6">
    <w:name w:val="Normal (Web)"/>
    <w:basedOn w:val="a"/>
    <w:uiPriority w:val="99"/>
    <w:semiHidden/>
    <w:unhideWhenUsed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16488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16488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16488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16488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16488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16488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16488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16488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16488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16488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1648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164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16488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16488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16488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16488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16488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16488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16488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16488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16488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1648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1648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1648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16488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16488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16488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16488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164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16488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16488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16488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16488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16488"/>
  </w:style>
  <w:style w:type="character" w:customStyle="1" w:styleId="dynatree-vline">
    <w:name w:val="dynatree-vline"/>
    <w:basedOn w:val="a0"/>
    <w:rsid w:val="00916488"/>
  </w:style>
  <w:style w:type="character" w:customStyle="1" w:styleId="dynatree-connector">
    <w:name w:val="dynatree-connector"/>
    <w:basedOn w:val="a0"/>
    <w:rsid w:val="00916488"/>
  </w:style>
  <w:style w:type="character" w:customStyle="1" w:styleId="dynatree-expander">
    <w:name w:val="dynatree-expander"/>
    <w:basedOn w:val="a0"/>
    <w:rsid w:val="00916488"/>
  </w:style>
  <w:style w:type="character" w:customStyle="1" w:styleId="dynatree-icon">
    <w:name w:val="dynatree-icon"/>
    <w:basedOn w:val="a0"/>
    <w:rsid w:val="00916488"/>
  </w:style>
  <w:style w:type="character" w:customStyle="1" w:styleId="dynatree-checkbox">
    <w:name w:val="dynatree-checkbox"/>
    <w:basedOn w:val="a0"/>
    <w:rsid w:val="00916488"/>
  </w:style>
  <w:style w:type="character" w:customStyle="1" w:styleId="dynatree-radio">
    <w:name w:val="dynatree-radio"/>
    <w:basedOn w:val="a0"/>
    <w:rsid w:val="00916488"/>
  </w:style>
  <w:style w:type="character" w:customStyle="1" w:styleId="dynatree-drag-helper-img">
    <w:name w:val="dynatree-drag-helper-img"/>
    <w:basedOn w:val="a0"/>
    <w:rsid w:val="00916488"/>
  </w:style>
  <w:style w:type="character" w:customStyle="1" w:styleId="dynatree-drag-source">
    <w:name w:val="dynatree-drag-source"/>
    <w:basedOn w:val="a0"/>
    <w:rsid w:val="00916488"/>
    <w:rPr>
      <w:shd w:val="clear" w:color="auto" w:fill="E0E0E0"/>
    </w:rPr>
  </w:style>
  <w:style w:type="paragraph" w:customStyle="1" w:styleId="mainlink1">
    <w:name w:val="mainlink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16488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1648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16488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16488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16488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16488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16488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164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16488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164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16488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16488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16488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16488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16488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16488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16488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164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16488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16488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16488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164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164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16488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164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16488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16488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16488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16488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164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164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16488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16488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16488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1648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1648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1648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16488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16488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16488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16488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16488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16488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16488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16488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16488"/>
  </w:style>
  <w:style w:type="character" w:customStyle="1" w:styleId="dynatree-icon1">
    <w:name w:val="dynatree-icon1"/>
    <w:basedOn w:val="a0"/>
    <w:rsid w:val="00916488"/>
  </w:style>
  <w:style w:type="paragraph" w:customStyle="1" w:styleId="confirmdialogheader1">
    <w:name w:val="confirmdialogheader1"/>
    <w:basedOn w:val="a"/>
    <w:rsid w:val="00916488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16488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1648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16488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1648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1648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16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488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648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16488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16488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16488"/>
    <w:rPr>
      <w:b/>
      <w:bCs/>
    </w:rPr>
  </w:style>
  <w:style w:type="paragraph" w:styleId="a6">
    <w:name w:val="Normal (Web)"/>
    <w:basedOn w:val="a"/>
    <w:uiPriority w:val="99"/>
    <w:semiHidden/>
    <w:unhideWhenUsed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16488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16488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16488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16488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16488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16488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16488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16488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16488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16488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16488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164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16488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16488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16488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16488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16488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16488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16488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16488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16488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1648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1648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1648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16488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16488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16488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16488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164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16488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16488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16488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16488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16488"/>
  </w:style>
  <w:style w:type="character" w:customStyle="1" w:styleId="dynatree-vline">
    <w:name w:val="dynatree-vline"/>
    <w:basedOn w:val="a0"/>
    <w:rsid w:val="00916488"/>
  </w:style>
  <w:style w:type="character" w:customStyle="1" w:styleId="dynatree-connector">
    <w:name w:val="dynatree-connector"/>
    <w:basedOn w:val="a0"/>
    <w:rsid w:val="00916488"/>
  </w:style>
  <w:style w:type="character" w:customStyle="1" w:styleId="dynatree-expander">
    <w:name w:val="dynatree-expander"/>
    <w:basedOn w:val="a0"/>
    <w:rsid w:val="00916488"/>
  </w:style>
  <w:style w:type="character" w:customStyle="1" w:styleId="dynatree-icon">
    <w:name w:val="dynatree-icon"/>
    <w:basedOn w:val="a0"/>
    <w:rsid w:val="00916488"/>
  </w:style>
  <w:style w:type="character" w:customStyle="1" w:styleId="dynatree-checkbox">
    <w:name w:val="dynatree-checkbox"/>
    <w:basedOn w:val="a0"/>
    <w:rsid w:val="00916488"/>
  </w:style>
  <w:style w:type="character" w:customStyle="1" w:styleId="dynatree-radio">
    <w:name w:val="dynatree-radio"/>
    <w:basedOn w:val="a0"/>
    <w:rsid w:val="00916488"/>
  </w:style>
  <w:style w:type="character" w:customStyle="1" w:styleId="dynatree-drag-helper-img">
    <w:name w:val="dynatree-drag-helper-img"/>
    <w:basedOn w:val="a0"/>
    <w:rsid w:val="00916488"/>
  </w:style>
  <w:style w:type="character" w:customStyle="1" w:styleId="dynatree-drag-source">
    <w:name w:val="dynatree-drag-source"/>
    <w:basedOn w:val="a0"/>
    <w:rsid w:val="00916488"/>
    <w:rPr>
      <w:shd w:val="clear" w:color="auto" w:fill="E0E0E0"/>
    </w:rPr>
  </w:style>
  <w:style w:type="paragraph" w:customStyle="1" w:styleId="mainlink1">
    <w:name w:val="mainlink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16488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1648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1648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16488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16488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16488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16488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16488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164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16488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164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16488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16488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16488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16488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16488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16488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16488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164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16488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16488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16488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164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164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16488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164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16488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16488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16488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16488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164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1648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16488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16488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16488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1648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1648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1648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16488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16488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16488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16488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16488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16488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16488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16488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16488"/>
  </w:style>
  <w:style w:type="character" w:customStyle="1" w:styleId="dynatree-icon1">
    <w:name w:val="dynatree-icon1"/>
    <w:basedOn w:val="a0"/>
    <w:rsid w:val="00916488"/>
  </w:style>
  <w:style w:type="paragraph" w:customStyle="1" w:styleId="confirmdialogheader1">
    <w:name w:val="confirmdialogheader1"/>
    <w:basedOn w:val="a"/>
    <w:rsid w:val="00916488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16488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1648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1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16488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1648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1648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91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6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10382</Words>
  <Characters>59183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</dc:creator>
  <cp:keywords/>
  <dc:description/>
  <cp:lastModifiedBy>3700-01-769</cp:lastModifiedBy>
  <cp:revision>10</cp:revision>
  <dcterms:created xsi:type="dcterms:W3CDTF">2018-09-25T13:26:00Z</dcterms:created>
  <dcterms:modified xsi:type="dcterms:W3CDTF">2018-09-25T14:15:00Z</dcterms:modified>
</cp:coreProperties>
</file>