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A3" w:rsidRPr="00FE1BA3" w:rsidRDefault="00FE1BA3" w:rsidP="00FE1BA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1BA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1BA3">
        <w:rPr>
          <w:rFonts w:ascii="Times New Roman" w:hAnsi="Times New Roman" w:cs="Times New Roman"/>
          <w:sz w:val="24"/>
          <w:szCs w:val="24"/>
        </w:rPr>
        <w:t>1</w:t>
      </w:r>
    </w:p>
    <w:p w:rsidR="00FE1BA3" w:rsidRPr="00FE1BA3" w:rsidRDefault="00FE1BA3" w:rsidP="00FE1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BA3">
        <w:rPr>
          <w:rFonts w:ascii="Times New Roman" w:hAnsi="Times New Roman" w:cs="Times New Roman"/>
          <w:sz w:val="24"/>
          <w:szCs w:val="24"/>
        </w:rPr>
        <w:t>к решению Думы ИРМО</w:t>
      </w:r>
    </w:p>
    <w:p w:rsidR="00FE1BA3" w:rsidRPr="00FE1BA3" w:rsidRDefault="00FE1BA3" w:rsidP="00FE1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BA3">
        <w:rPr>
          <w:rFonts w:ascii="Times New Roman" w:hAnsi="Times New Roman" w:cs="Times New Roman"/>
          <w:sz w:val="24"/>
          <w:szCs w:val="24"/>
        </w:rPr>
        <w:t>от 26</w:t>
      </w:r>
      <w:r>
        <w:rPr>
          <w:rFonts w:ascii="Times New Roman" w:hAnsi="Times New Roman" w:cs="Times New Roman"/>
          <w:sz w:val="24"/>
          <w:szCs w:val="24"/>
        </w:rPr>
        <w:t>.11.</w:t>
      </w:r>
      <w:r w:rsidRPr="00FE1BA3">
        <w:rPr>
          <w:rFonts w:ascii="Times New Roman" w:hAnsi="Times New Roman" w:cs="Times New Roman"/>
          <w:sz w:val="24"/>
          <w:szCs w:val="24"/>
        </w:rPr>
        <w:t xml:space="preserve">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1BA3">
        <w:rPr>
          <w:rFonts w:ascii="Times New Roman" w:hAnsi="Times New Roman" w:cs="Times New Roman"/>
          <w:sz w:val="24"/>
          <w:szCs w:val="24"/>
        </w:rPr>
        <w:t>16-119/</w:t>
      </w:r>
      <w:proofErr w:type="spellStart"/>
      <w:r w:rsidRPr="00FE1BA3">
        <w:rPr>
          <w:rFonts w:ascii="Times New Roman" w:hAnsi="Times New Roman" w:cs="Times New Roman"/>
          <w:sz w:val="24"/>
          <w:szCs w:val="24"/>
        </w:rPr>
        <w:t>рд</w:t>
      </w:r>
      <w:proofErr w:type="spellEnd"/>
    </w:p>
    <w:p w:rsidR="00FE1BA3" w:rsidRPr="00FE1BA3" w:rsidRDefault="00FE1BA3" w:rsidP="00FE1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BA3" w:rsidRPr="00FE1BA3" w:rsidRDefault="00FE1BA3" w:rsidP="00FE1B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1BA3">
        <w:rPr>
          <w:rFonts w:ascii="Times New Roman" w:hAnsi="Times New Roman" w:cs="Times New Roman"/>
          <w:sz w:val="24"/>
          <w:szCs w:val="24"/>
        </w:rPr>
        <w:t>Таблица 1</w:t>
      </w:r>
    </w:p>
    <w:p w:rsidR="00FE1BA3" w:rsidRPr="00FE1BA3" w:rsidRDefault="00FE1BA3" w:rsidP="00FE1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BA3" w:rsidRPr="00FE1BA3" w:rsidRDefault="00FE1BA3" w:rsidP="00FE1B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9"/>
      <w:bookmarkEnd w:id="1"/>
      <w:r w:rsidRPr="00FE1BA3">
        <w:rPr>
          <w:rFonts w:ascii="Times New Roman" w:hAnsi="Times New Roman" w:cs="Times New Roman"/>
          <w:sz w:val="24"/>
          <w:szCs w:val="24"/>
        </w:rPr>
        <w:t>ЗНАЧЕНИЯ ПОКАЗАТЕЛЯ A, УЧИТЫВАЮЩЕГО АССОРТИМЕНТ</w:t>
      </w:r>
    </w:p>
    <w:p w:rsidR="00FE1BA3" w:rsidRPr="00FE1BA3" w:rsidRDefault="00FE1BA3" w:rsidP="00FE1B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1BA3">
        <w:rPr>
          <w:rFonts w:ascii="Times New Roman" w:hAnsi="Times New Roman" w:cs="Times New Roman"/>
          <w:sz w:val="24"/>
          <w:szCs w:val="24"/>
        </w:rPr>
        <w:t>ТОВАРОВ (РАБОТ, УСЛУГ), А ТАКЖЕ КАЧЕСТВО УСЛУГ</w:t>
      </w:r>
    </w:p>
    <w:p w:rsidR="00FE1BA3" w:rsidRPr="00FE1BA3" w:rsidRDefault="00FE1BA3" w:rsidP="00FE1B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1BA3">
        <w:rPr>
          <w:rFonts w:ascii="Times New Roman" w:hAnsi="Times New Roman" w:cs="Times New Roman"/>
          <w:sz w:val="24"/>
          <w:szCs w:val="24"/>
        </w:rPr>
        <w:t>(В ОТНОШЕНИИ ОКАЗАНИЯ УСЛУГ ОБЩЕСТВЕННОГО ПИТАНИЯ)</w:t>
      </w:r>
    </w:p>
    <w:p w:rsidR="00FE1BA3" w:rsidRPr="00FE1BA3" w:rsidRDefault="00FE1BA3" w:rsidP="00FE1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"/>
        <w:gridCol w:w="7313"/>
        <w:gridCol w:w="1276"/>
      </w:tblGrid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A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Бытовые услуги (в зависимости от вида услуг):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ремонт, окраска и пошив обуви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 (кроме ремонта и пошива изделий из натурального и искусственного меха, изделий из натуральной и искусственной кожи и замши)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ремонт и пошив изделий из натурального и искусственного меха, изделий из натуральной и искусственной кожи и замши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бытовой радиоэлектронной аппаратуры, бытовых машин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бытовых приборов (включая ремонт часов), ремонт и изготовление металлоизделий, кроме ювелирных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электрокалькуляторов</w:t>
            </w:r>
            <w:proofErr w:type="spellEnd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, персональных ЭВМ, компьютерной техники, включая ноутбуки, принтеры, сканеры, процессоры, мониторы, компьютерную клавиатуру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ремонт и изготовление ювелирных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мебели, прочие услуги по изготовлению и ремонту мебели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химическая чистка и крашение, услуги прачечных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ремонт и строительство жилья и других построек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услуги фотоателье и фот</w:t>
            </w:r>
            <w:proofErr w:type="gram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, кинолабораторий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услуги бань, душевых и саун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парикмахерские услуги, оказываемые организациями коммунально-бытового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косметические услуги, оказываемые организациями коммунально-</w:t>
            </w:r>
            <w:r w:rsidRPr="00FE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услуги предприятий по прокату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обрядовые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прочие виды бытовых услуг (за исключением услуг ломбардов)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 розничная торговля, осуществляемая через объекты стационарной торговой сети, не имеющей торговых залов, а также объекты нестационарной торговой сети (в зависимости от вида реализуемых товаров)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15"/>
            <w:bookmarkEnd w:id="2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хлеб и хлебобулочные изделия, мука, молоко и молокопродукты, масло растительное, маргарин, крупы, сахар, соль, картофель, детское питание, печатная продукция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питания (кроме </w:t>
            </w:r>
            <w:proofErr w:type="gram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ar115" w:tooltip="4.1" w:history="1">
              <w:r w:rsidRPr="00FE1BA3">
                <w:rPr>
                  <w:rFonts w:ascii="Times New Roman" w:hAnsi="Times New Roman" w:cs="Times New Roman"/>
                  <w:sz w:val="24"/>
                  <w:szCs w:val="24"/>
                </w:rPr>
                <w:t>подпункте 4.1</w:t>
              </w:r>
            </w:hyperlink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таблицы) без реализации подакцизной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продукты питания с реализацией подакцизных товаров, подакцизные товары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непродовольственные товары (за исключением </w:t>
            </w:r>
            <w:proofErr w:type="gram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ar142" w:tooltip="4.5" w:history="1">
              <w:r w:rsidRPr="00FE1BA3">
                <w:rPr>
                  <w:rFonts w:ascii="Times New Roman" w:hAnsi="Times New Roman" w:cs="Times New Roman"/>
                  <w:sz w:val="24"/>
                  <w:szCs w:val="24"/>
                </w:rPr>
                <w:t>подпункте 4.5</w:t>
              </w:r>
            </w:hyperlink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таблицы), а именно: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мебель (в том числе офисная), ковры, строительные материалы и сантехника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4.4.2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меха, кожа и изделия из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4.4.3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ювелирные изделия, оружие, электробытовые приборы, оргтехника, радиоэлектронная аппаратура, </w:t>
            </w:r>
            <w:proofErr w:type="spell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телевидеоаппаратура</w:t>
            </w:r>
            <w:proofErr w:type="spellEnd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, запасные части и аксессуары для автомобилей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4.4.4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товары, бывшие в употреблении, кроме одежды и обуви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4.4.5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одежда и обувь, </w:t>
            </w:r>
            <w:proofErr w:type="gram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бывшие</w:t>
            </w:r>
            <w:proofErr w:type="gramEnd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 в употреблении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42"/>
            <w:bookmarkEnd w:id="3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следующие товары для детей: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трикотажные изделия для новорожденных и детей ясельной, дошкольной, младшей и старшей школьной возрастных групп;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верхние трикотажные изделия, бельевые трикотажные изделия, чулочно-носочные изделия;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прочие трикотажные изделия: перчатки, варежки, головные уборы;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- швейные изделия (за исключением изделий из натурального меха и натуральной кожи) для новорожденных и детей ясельной, дошкольной, младшей и старшей школьной возрастных групп: </w:t>
            </w:r>
            <w:r w:rsidRPr="00FE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верхняя одежда (в том числе плательная и костюмная группы), нательное белье, головные уборы, одежда и изделия для новорожденных и детей ясельной группы;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- обувь (за исключением </w:t>
            </w:r>
            <w:proofErr w:type="gram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proofErr w:type="gramEnd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): пинетки,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гусариковая</w:t>
            </w:r>
            <w:proofErr w:type="spellEnd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, дошкольная, школьная; валяная; резиновая: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малодетская</w:t>
            </w:r>
            <w:proofErr w:type="spellEnd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, детская, школьная;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кровати детские;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матрацы детские;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коляски;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тетради школьные;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игрушки;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пластилин;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пеналы;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счетные палочки;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счеты школьные;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дневники школьные;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тетради для рисования;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альбомы для рисования;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альбомы для черчения;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папки для тетрадей;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обложки для учебников, дневников, тетрадей;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кассы цифр и букв;</w:t>
            </w:r>
          </w:p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- подгузники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0,70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прочие виды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питания, осуществляемых при использовании зала площадью не более 150 квадратных метров по каждому объекту организации общественного питания; оказания услуг общественного питания, осуществляемых через объекты организации общественного питания, не имеющие зала обслуживания посетителей (в зависимости от типа точки общественного питания):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столовые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кафе, закусочные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рестораны, бары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иные типы точек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по перевозке грузов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по перевозке пассажиров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</w:t>
            </w:r>
            <w:r w:rsidRPr="00FE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стоянках (за исключением штрафных автостоянок)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Распространение наружной рекламы с использованием рекламных конструкций: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др. объектов), а также объектов организации общественного питания, не имеющих залов обслуживания посетителей: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5 </w:t>
            </w:r>
            <w:proofErr w:type="spell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5 </w:t>
            </w:r>
            <w:proofErr w:type="spell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площадью, не превышающей 10 квадратных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E1BA3" w:rsidRPr="00FE1BA3" w:rsidTr="006E2F15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FE1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площадью, превышающей 10 квадратных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A3" w:rsidRPr="00FE1BA3" w:rsidRDefault="00FE1BA3" w:rsidP="006E2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A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FE1BA3" w:rsidRPr="00FE1BA3" w:rsidRDefault="00FE1BA3" w:rsidP="00FE1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BA3" w:rsidRPr="00FE1BA3" w:rsidRDefault="00FE1BA3" w:rsidP="00FE1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BA3">
        <w:rPr>
          <w:rFonts w:ascii="Times New Roman" w:hAnsi="Times New Roman" w:cs="Times New Roman"/>
          <w:sz w:val="24"/>
          <w:szCs w:val="24"/>
        </w:rPr>
        <w:t xml:space="preserve">Примечание: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коэффициента, используется </w:t>
      </w:r>
      <w:proofErr w:type="gramStart"/>
      <w:r w:rsidRPr="00FE1BA3">
        <w:rPr>
          <w:rFonts w:ascii="Times New Roman" w:hAnsi="Times New Roman" w:cs="Times New Roman"/>
          <w:sz w:val="24"/>
          <w:szCs w:val="24"/>
        </w:rPr>
        <w:t>максимальное</w:t>
      </w:r>
      <w:proofErr w:type="gramEnd"/>
      <w:r w:rsidRPr="00FE1BA3">
        <w:rPr>
          <w:rFonts w:ascii="Times New Roman" w:hAnsi="Times New Roman" w:cs="Times New Roman"/>
          <w:sz w:val="24"/>
          <w:szCs w:val="24"/>
        </w:rPr>
        <w:t xml:space="preserve"> из применимых значений коэффициента. При осуществлении нескольких видов предпринимательской деятельности, подлежащих обложению единым налогом, учет показателей, необходимых для исчисления налога, ведется в соответствии с действующим законодательством.</w:t>
      </w:r>
    </w:p>
    <w:p w:rsidR="00FE1BA3" w:rsidRPr="00FE1BA3" w:rsidRDefault="00FE1BA3" w:rsidP="00FE1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BA3" w:rsidRPr="00FE1BA3" w:rsidRDefault="00FE1BA3" w:rsidP="00FE1B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2144" w:rsidRDefault="00252144"/>
    <w:sectPr w:rsidR="00252144" w:rsidSect="00FE1BA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A3"/>
    <w:rsid w:val="00252144"/>
    <w:rsid w:val="00337933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1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1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Соколова Юлия Борисовна</cp:lastModifiedBy>
  <cp:revision>2</cp:revision>
  <dcterms:created xsi:type="dcterms:W3CDTF">2016-04-14T06:33:00Z</dcterms:created>
  <dcterms:modified xsi:type="dcterms:W3CDTF">2016-04-19T07:26:00Z</dcterms:modified>
</cp:coreProperties>
</file>