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52" w:rsidRPr="00BE4552" w:rsidRDefault="00BE4552" w:rsidP="00BE4552">
      <w:pPr>
        <w:pStyle w:val="ConsPlusNormal"/>
        <w:jc w:val="center"/>
        <w:outlineLvl w:val="0"/>
        <w:rPr>
          <w:rFonts w:ascii="Times New Roman" w:hAnsi="Times New Roman" w:cs="Times New Roman"/>
          <w:b/>
          <w:bCs/>
          <w:sz w:val="24"/>
          <w:szCs w:val="24"/>
        </w:rPr>
      </w:pPr>
      <w:r w:rsidRPr="00BE4552">
        <w:rPr>
          <w:rFonts w:ascii="Times New Roman" w:hAnsi="Times New Roman" w:cs="Times New Roman"/>
          <w:b/>
          <w:bCs/>
          <w:sz w:val="24"/>
          <w:szCs w:val="24"/>
        </w:rPr>
        <w:t>АППАРАТ ГУБЕРНАТОРА ИРКУТСКОЙ ОБЛАСТИ</w:t>
      </w: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И ПРАВИТЕЛЬСТВА ИРКУТСКОЙ ОБЛАСТИ</w:t>
      </w:r>
    </w:p>
    <w:p w:rsidR="00BE4552" w:rsidRPr="00BE4552" w:rsidRDefault="00BE4552" w:rsidP="00BE4552">
      <w:pPr>
        <w:pStyle w:val="ConsPlusNormal"/>
        <w:jc w:val="center"/>
        <w:rPr>
          <w:rFonts w:ascii="Times New Roman" w:hAnsi="Times New Roman" w:cs="Times New Roman"/>
          <w:b/>
          <w:bCs/>
          <w:sz w:val="24"/>
          <w:szCs w:val="24"/>
        </w:rPr>
      </w:pP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ПРИКАЗ</w:t>
      </w: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от 13 февр</w:t>
      </w:r>
      <w:bookmarkStart w:id="0" w:name="_GoBack"/>
      <w:bookmarkEnd w:id="0"/>
      <w:r w:rsidRPr="00BE4552">
        <w:rPr>
          <w:rFonts w:ascii="Times New Roman" w:hAnsi="Times New Roman" w:cs="Times New Roman"/>
          <w:b/>
          <w:bCs/>
          <w:sz w:val="24"/>
          <w:szCs w:val="24"/>
        </w:rPr>
        <w:t>аля 2015 г. N 4-пра</w:t>
      </w:r>
    </w:p>
    <w:p w:rsidR="00BE4552" w:rsidRPr="00BE4552" w:rsidRDefault="00BE4552" w:rsidP="00BE4552">
      <w:pPr>
        <w:pStyle w:val="ConsPlusNormal"/>
        <w:jc w:val="center"/>
        <w:rPr>
          <w:rFonts w:ascii="Times New Roman" w:hAnsi="Times New Roman" w:cs="Times New Roman"/>
          <w:b/>
          <w:bCs/>
          <w:sz w:val="24"/>
          <w:szCs w:val="24"/>
        </w:rPr>
      </w:pP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О ПОРЯДКЕ ПРИНЯТИЯ ПРАВОВЫХ АКТОВ АППАРАТА ГУБЕРНАТОРА</w:t>
      </w: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ИРКУТСКОЙ ОБЛАСТИ И ПРАВИТЕЛЬСТВА ИРКУТСКОЙ ОБЛАСТИ</w:t>
      </w:r>
    </w:p>
    <w:p w:rsidR="00BE4552" w:rsidRPr="00BE4552" w:rsidRDefault="00BE4552" w:rsidP="00BE4552">
      <w:pPr>
        <w:pStyle w:val="ConsPlusNormal"/>
        <w:jc w:val="center"/>
        <w:rPr>
          <w:rFonts w:ascii="Times New Roman" w:hAnsi="Times New Roman" w:cs="Times New Roman"/>
          <w:sz w:val="24"/>
          <w:szCs w:val="24"/>
        </w:rPr>
      </w:pP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В соответствии со </w:t>
      </w:r>
      <w:hyperlink r:id="rId5" w:tooltip="Закон Иркутской области от 12.01.2010 N 1-оз (ред. от 11.12.2014) &quot;О правовых актах Иркутской области и правотворческой деятельности в Иркутской области&quot; (принят Постановлением Законодательного Собрания Иркутской области от 16.12.2009 N 17/9-ЗС){КонсультантПлюс}" w:history="1">
        <w:r w:rsidRPr="00BE4552">
          <w:rPr>
            <w:rFonts w:ascii="Times New Roman" w:hAnsi="Times New Roman" w:cs="Times New Roman"/>
            <w:sz w:val="24"/>
            <w:szCs w:val="24"/>
          </w:rPr>
          <w:t>статьей 27</w:t>
        </w:r>
      </w:hyperlink>
      <w:r w:rsidRPr="00BE4552">
        <w:rPr>
          <w:rFonts w:ascii="Times New Roman" w:hAnsi="Times New Roman" w:cs="Times New Roman"/>
          <w:sz w:val="24"/>
          <w:szCs w:val="24"/>
        </w:rPr>
        <w:t xml:space="preserve"> Закона Иркутской области от 12 января 2010 года N 1-оз "О правовых актах Иркутской области и правотворческой деятельности в Иркутской области", руководствуясь </w:t>
      </w:r>
      <w:hyperlink r:id="rId6" w:tooltip="&quot;Устав Иркутской области&quot; от 17.04.2009 N 1 (принят Постановлением Законодательного Собрания Иркутской области от 15.04.2009 N 9/5-ЗС) (ред. от 30.05.2014){КонсультантПлюс}" w:history="1">
        <w:r w:rsidRPr="00BE4552">
          <w:rPr>
            <w:rFonts w:ascii="Times New Roman" w:hAnsi="Times New Roman" w:cs="Times New Roman"/>
            <w:sz w:val="24"/>
            <w:szCs w:val="24"/>
          </w:rPr>
          <w:t>статьей 21</w:t>
        </w:r>
      </w:hyperlink>
      <w:r w:rsidRPr="00BE4552">
        <w:rPr>
          <w:rFonts w:ascii="Times New Roman" w:hAnsi="Times New Roman" w:cs="Times New Roman"/>
          <w:sz w:val="24"/>
          <w:szCs w:val="24"/>
        </w:rPr>
        <w:t xml:space="preserve"> Устава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1. Утвердить </w:t>
      </w:r>
      <w:hyperlink w:anchor="Par32" w:tooltip="Ссылка на текущий документ" w:history="1">
        <w:r w:rsidRPr="00BE4552">
          <w:rPr>
            <w:rFonts w:ascii="Times New Roman" w:hAnsi="Times New Roman" w:cs="Times New Roman"/>
            <w:sz w:val="24"/>
            <w:szCs w:val="24"/>
          </w:rPr>
          <w:t>Порядок</w:t>
        </w:r>
      </w:hyperlink>
      <w:r w:rsidRPr="00BE4552">
        <w:rPr>
          <w:rFonts w:ascii="Times New Roman" w:hAnsi="Times New Roman" w:cs="Times New Roman"/>
          <w:sz w:val="24"/>
          <w:szCs w:val="24"/>
        </w:rPr>
        <w:t xml:space="preserve"> принятия правовых актов аппарата Губернатора Иркутской области и Правительства Иркутской области (прилагается).</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2. Настоящий приказ вступает в силу через десять календарных дней после его официального опубликования.</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Руководитель аппарата</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Губернатора Иркутской области</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и Правительства Иркутской области</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М.Е.</w:t>
      </w:r>
      <w:r w:rsidRPr="00BE4552">
        <w:rPr>
          <w:rFonts w:ascii="Times New Roman" w:hAnsi="Times New Roman" w:cs="Times New Roman"/>
          <w:i/>
          <w:sz w:val="24"/>
          <w:szCs w:val="24"/>
        </w:rPr>
        <w:t xml:space="preserve"> </w:t>
      </w:r>
      <w:r w:rsidRPr="00BE4552">
        <w:rPr>
          <w:rFonts w:ascii="Times New Roman" w:hAnsi="Times New Roman" w:cs="Times New Roman"/>
          <w:i/>
          <w:sz w:val="24"/>
          <w:szCs w:val="24"/>
        </w:rPr>
        <w:t>А</w:t>
      </w:r>
      <w:r w:rsidRPr="00BE4552">
        <w:rPr>
          <w:rFonts w:ascii="Times New Roman" w:hAnsi="Times New Roman" w:cs="Times New Roman"/>
          <w:i/>
          <w:sz w:val="24"/>
          <w:szCs w:val="24"/>
        </w:rPr>
        <w:t>вдеев</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jc w:val="right"/>
        <w:outlineLvl w:val="0"/>
        <w:rPr>
          <w:rFonts w:ascii="Times New Roman" w:hAnsi="Times New Roman" w:cs="Times New Roman"/>
          <w:sz w:val="24"/>
          <w:szCs w:val="24"/>
        </w:rPr>
      </w:pPr>
      <w:bookmarkStart w:id="1" w:name="Par25"/>
      <w:bookmarkEnd w:id="1"/>
      <w:r w:rsidRPr="00BE4552">
        <w:rPr>
          <w:rFonts w:ascii="Times New Roman" w:hAnsi="Times New Roman" w:cs="Times New Roman"/>
          <w:sz w:val="24"/>
          <w:szCs w:val="24"/>
        </w:rPr>
        <w:t>Утвержден</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приказом</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аппарата Губернатора Иркутской области</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и Правительства Иркутской области</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от 13 февраля 2015 года</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N 4-пра</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jc w:val="center"/>
        <w:rPr>
          <w:rFonts w:ascii="Times New Roman" w:hAnsi="Times New Roman" w:cs="Times New Roman"/>
          <w:b/>
          <w:bCs/>
          <w:sz w:val="24"/>
          <w:szCs w:val="24"/>
        </w:rPr>
      </w:pPr>
      <w:bookmarkStart w:id="2" w:name="Par32"/>
      <w:bookmarkEnd w:id="2"/>
      <w:r w:rsidRPr="00BE4552">
        <w:rPr>
          <w:rFonts w:ascii="Times New Roman" w:hAnsi="Times New Roman" w:cs="Times New Roman"/>
          <w:b/>
          <w:bCs/>
          <w:sz w:val="24"/>
          <w:szCs w:val="24"/>
        </w:rPr>
        <w:t>ПОРЯДОК</w:t>
      </w: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ПРИНЯТИЯ ПРАВОВЫХ АКТОВ АППАРАТА ГУБЕРНАТОРА ИРКУТСКОЙ</w:t>
      </w:r>
    </w:p>
    <w:p w:rsidR="00BE4552" w:rsidRPr="00BE4552" w:rsidRDefault="00BE4552" w:rsidP="00BE4552">
      <w:pPr>
        <w:pStyle w:val="ConsPlusNormal"/>
        <w:jc w:val="center"/>
        <w:rPr>
          <w:rFonts w:ascii="Times New Roman" w:hAnsi="Times New Roman" w:cs="Times New Roman"/>
          <w:b/>
          <w:bCs/>
          <w:sz w:val="24"/>
          <w:szCs w:val="24"/>
        </w:rPr>
      </w:pPr>
      <w:r w:rsidRPr="00BE4552">
        <w:rPr>
          <w:rFonts w:ascii="Times New Roman" w:hAnsi="Times New Roman" w:cs="Times New Roman"/>
          <w:b/>
          <w:bCs/>
          <w:sz w:val="24"/>
          <w:szCs w:val="24"/>
        </w:rPr>
        <w:t>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 Порядок принятия правовых актов аппарата Губернатора Иркутской области и Правительства Иркутской области (далее - Порядок) устанавливает систему взаимосвязанных и последовательно совершаемых действий, осуществляемых в целях принятия правовых актов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2. Аппарат Губернатора Иркутской области и Правительства Иркутской области на основании и во исполнение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BE4552">
          <w:rPr>
            <w:rFonts w:ascii="Times New Roman" w:hAnsi="Times New Roman" w:cs="Times New Roman"/>
            <w:sz w:val="24"/>
            <w:szCs w:val="24"/>
          </w:rPr>
          <w:t>Конституции</w:t>
        </w:r>
      </w:hyperlink>
      <w:r w:rsidRPr="00BE4552">
        <w:rPr>
          <w:rFonts w:ascii="Times New Roman" w:hAnsi="Times New Roman" w:cs="Times New Roman"/>
          <w:sz w:val="24"/>
          <w:szCs w:val="24"/>
        </w:rPr>
        <w:t xml:space="preserve"> Российской Федерации, федеральных конституционных законов, федеральных законов, нормативных актов Президента Российской Федерации, постановлений Правительства Российской Федерации, </w:t>
      </w:r>
      <w:hyperlink r:id="rId8" w:tooltip="&quot;Устав Иркутской области&quot; от 17.04.2009 N 1 (принят Постановлением Законодательного Собрания Иркутской области от 15.04.2009 N 9/5-ЗС) (ред. от 30.05.2014){КонсультантПлюс}" w:history="1">
        <w:r w:rsidRPr="00BE4552">
          <w:rPr>
            <w:rFonts w:ascii="Times New Roman" w:hAnsi="Times New Roman" w:cs="Times New Roman"/>
            <w:sz w:val="24"/>
            <w:szCs w:val="24"/>
          </w:rPr>
          <w:t>Устава</w:t>
        </w:r>
      </w:hyperlink>
      <w:r w:rsidRPr="00BE4552">
        <w:rPr>
          <w:rFonts w:ascii="Times New Roman" w:hAnsi="Times New Roman" w:cs="Times New Roman"/>
          <w:sz w:val="24"/>
          <w:szCs w:val="24"/>
        </w:rPr>
        <w:t xml:space="preserve"> Иркутской области и законов Иркутской области, указов и распоряжений Губернатора Иркутской области, постановлений и распоряжений Правительства Иркутской области издает нормативные правовые акты в форме приказов и акты индивидуального правового регулирования (ненормативные правовые акты) в форме распоряжений.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3. Подготовка проектов правовых актов аппарата Губернатора Иркутской области и Правительства Иркутской области осуществляется самостоятельными структурными подразделениями аппарата Губернатора Иркутской области и Правительства Иркутской области (далее - исполнители):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lastRenderedPageBreak/>
        <w:t>в соответствии с задачами и функциями, определенными положениями о таких подразделениях;</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на основании поручений, содержащихся в правовых актах Губернатора Иркутской области, правовых актах Правительства Иркутской области, правовых актах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на основании указаний и поручений Губернатора Иркутской области, Правительства Иркутской области, первых заместителей Председателя Правительства Иркутской области, заместителей Губернатора Иркутской области, заместителей Председателя Правительства Иркутской области в соответствии с распределением обязанностей;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на основании поручений руководителя аппарата Губернатора Иркутской области и Правительства Иркутской области, первого заместителя руководителя аппарата Губернатора Иркутской области и Правительства Иркутской области, заместителей руководителя аппарата Губернатора Иркутской области и Правительства Иркутской области в соответствии с распределением обязанностей;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поручений министерства юстиции Иркутской области по исполнению федеральных правовых актов, законов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Подготовка проектов правовых актов аппарата Губернатора Иркутской области и Правительства Иркутской области осуществляется также государственными учреждениями Иркутской области, учредителем которых от имени Иркутской области выступает аппарат Губернатора Иркутской области и Правительства Иркутской области (далее - исполнители), в соответствии с учредительными документами государственных учреждений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Иные органы, организации и лица вправе обращаться с предложениями о принятии правовых актов аппарата Губернатора Иркутской области и Правительства Иркутской области через самостоятельные структурные подразделения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4. Подготовка и оформление правовых актов аппарата Губернатора Иркутской области и Правительства Иркутской области осуществляется с соблюдением правил юридической техники подготовки и оформления правовых актов и требований к реквизитам правовых актов, установленных </w:t>
      </w:r>
      <w:hyperlink r:id="rId9" w:tooltip="Закон Иркутской области от 12.01.2010 N 1-оз (ред. от 11.12.2014) &quot;О правовых актах Иркутской области и правотворческой деятельности в Иркутской области&quot; (принят Постановлением Законодательного Собрания Иркутской области от 16.12.2009 N 17/9-ЗС){КонсультантПлюс}" w:history="1">
        <w:r w:rsidRPr="00BE4552">
          <w:rPr>
            <w:rFonts w:ascii="Times New Roman" w:hAnsi="Times New Roman" w:cs="Times New Roman"/>
            <w:sz w:val="24"/>
            <w:szCs w:val="24"/>
          </w:rPr>
          <w:t>Законом</w:t>
        </w:r>
      </w:hyperlink>
      <w:r w:rsidRPr="00BE4552">
        <w:rPr>
          <w:rFonts w:ascii="Times New Roman" w:hAnsi="Times New Roman" w:cs="Times New Roman"/>
          <w:sz w:val="24"/>
          <w:szCs w:val="24"/>
        </w:rPr>
        <w:t xml:space="preserve"> Иркутской области от 12 января 2010 года N 1-оз "О правовых актах Иркутской области и правотворческой деятельности в Иркутской области" и указами Губернатора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5. Персональную ответственность за качественную подготовку проекта правового акта аппарата Губернатора Иркутской области и Правительства Иркутской области (далее - проект правового акта), соответствие его требованиям законодательства, правилам юридической техники, требованиям настоящего Порядка, в том числе за своевременность подготовки и согласования, несет руководитель исполнителя, которым подготовлен (должен быть подготовлен) проект правового акта.</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6. О невозможности, нецелесообразности подготовки проекта правового акта, выявленной на любой стадии подготовки и согласования проекта правового акта, исполнитель информирует руководителя аппарата Губернатора Иркутской области и Правительства Иркутской области, первого заместителя руководителя аппарата Губернатора Иркутской области и Правительства Иркутской области, заместителя руководителя аппарата Губернатора Иркутской области и Правительства Иркутской области в соответствии с распределением обязанностей.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Решение о дальнейшей работе над проектом соответствующего правового акта принимает руководитель аппарата Губернатора Иркутской области и Правительства Иркутской области, первый заместитель руководителя аппарата Губернатора Иркутской области и Правительства Иркутской области, заместитель руководителя аппарата Губернатора Иркутской области и Правительства Иркутской области в соответствии с распределением обязанностей.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7. В целях подготовки проекта правового акта исполнители вправе запрашивать у </w:t>
      </w:r>
      <w:r w:rsidRPr="00BE4552">
        <w:rPr>
          <w:rFonts w:ascii="Times New Roman" w:hAnsi="Times New Roman" w:cs="Times New Roman"/>
          <w:sz w:val="24"/>
          <w:szCs w:val="24"/>
        </w:rPr>
        <w:lastRenderedPageBreak/>
        <w:t>самостоятельных структурных подразделений аппарата Губернатора Иркутской области и Правительства Иркутской области, исполнительных органов государственной власти Иркутской области, должностных лиц необходимую информацию.</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Для разработки проекта правового акта области аппаратом Губернатора Иркутской области и Правительства Иркутской области может создаваться рабочая группа из числа сотрудников аппарата Губернатора Иркутской области и Правительства Иркутской области, представителей иных заинтересованных государственных органов и органов местного самоуправления муниципальных образований Иркутской области, приглашенных специалистов, а также иных лиц, чье участие в деятельности рабочей группы будет сочтено целесообразным.</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К участию в подготовке проекта правового акта, затрагивающего интересы конкретных муниципальных образований Иркутской области, привлекаются представители органов местного самоуправления соответствующих муниципальных образований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Аппарат Губернатора Иркутской области и Правительства Иркутской области вправе в установленном законодательством порядке привлечь научные учреждения, а также отдельных ученых, специалистов или их коллективы к разработке рабочих проектов правовых актов.</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8. В целях обеспечения соответствия проекта правового акта требованиям законодательства, правилам юридической техники, требованиям настоящего Порядка исполнителем обеспечивается согласование проекта правового акта.</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Проект правового акта согласовывается в следующей последовательности: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 самостоятельным структурным подразделением аппарата Губернатора Иркутской области и Правительства Иркутской области, обеспечивающим выполнение аппаратом Губернатора Иркутской области и Правительства Иркутской области функций учредителя в отношении исполнителя (если подготовка проекта правовых актов осуществляется государственным учреждением Иркутской области, учредителем которого от имени Иркутской области выступает аппарат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2) первым заместителем руководителя аппарата Губернатора Иркутской области и Правительства Иркутской области, заместителем руководителя аппарата Губернатора Иркутской области и Правительства Иркутской области в соответствии с распределением обязанностей;</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3) руководителями самостоятельных структурных подразделений, к задачам и функциям которых имеют отношение регулируемые проектом правового акта вопросы или которым проектом правового акта адресованы задания, поручения или рекомендации;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4) при необходимости - должностными лицами территориальных органов федеральных органов исполнительной власти, исполнительных органов государственной власти Иркутской области, иных государственных органов, органов местного самоуправления муниципальных образований Иркутской области, заинтересованных организаций, гражданами;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5) проекты, затрагивающие вопросы финансирования, - начальником отдела финансового обеспечения Губернатора Иркутской области и Правительства Иркутской области - главным бухгалтером;</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6) начальником юридического отдела (кроме проектов распоряжений аппарата Губернатора Иркутской области и Правительства Иркутской области о предоставлении отпусков сотрудникам аппарата Губернатора Иркутской области и Правительства Иркутской области, о направлении сотрудников аппарата Губернатора Иркутской области и Правительства Иркутской области в командировку, касающихся изменения фамилии).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9. Полноту согласования вправе определять:</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руководитель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lastRenderedPageBreak/>
        <w:t>первый заместитель руководителя аппарата Губернатора Иркутской области и Правительства Иркутской области, заместители руководителя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заведующий канцелярией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руководитель секретариата руководителя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начальник юридического отдела.</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10. К проекту правового акта в обязательном порядке прилагается контрольная </w:t>
      </w:r>
      <w:hyperlink w:anchor="Par90" w:tooltip="Ссылка на текущий документ" w:history="1">
        <w:r w:rsidRPr="00BE4552">
          <w:rPr>
            <w:rFonts w:ascii="Times New Roman" w:hAnsi="Times New Roman" w:cs="Times New Roman"/>
            <w:sz w:val="24"/>
            <w:szCs w:val="24"/>
          </w:rPr>
          <w:t>карта</w:t>
        </w:r>
      </w:hyperlink>
      <w:r w:rsidRPr="00BE4552">
        <w:rPr>
          <w:rFonts w:ascii="Times New Roman" w:hAnsi="Times New Roman" w:cs="Times New Roman"/>
          <w:sz w:val="24"/>
          <w:szCs w:val="24"/>
        </w:rPr>
        <w:t xml:space="preserve"> согласования (приложение к настоящему Порядку). В контрольной карте к проекту правового акта лицом, уполномоченным органом (должностным лицом), в который (которому) проект правового акта направлен на согласование, делается отметка о дате поступления проекта правового акта на согласование, заверенная его подписью. Контрольная карта согласования с отметкой о дате поступления проекта правового акта на согласование возвращается исполнителю.</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11. В случае включения в состав совещательных, координационных органов, рабочих групп, создаваемых аппаратом Губернатора Иркутской области и Правительства Иркутской области, представителей территориальных органов федеральных органов исполнительной власти, исполнительных органов государственной власти Иркутской области, иных государственных органов, органов местного самоуправления муниципальных образований Иркутской области, организаций (кроме государственных учреждений Иркутской области, учредителем которых от имени Иркутской области выступает аппарат Губернатора Иркутской области и Правительства Иркутской области), граждан к проекту правового акта должно быть приложено письменное согласие руководителей соответствующих органов и организаций, граждан.</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12. Срок согласования проекта правового акта каждым самостоятельным структурным подразделением или должностным лицом аппарата Губернатора Иркутской области и Правительства Иркутской области, государственным учреждением Иркутской области, учредителем которого от имени Иркутской области выступает аппарат Губернатора Иркутской области и Правительства Иркутской области, составляет два рабочих дня со дня, следующего за днем получения проекта правового акта на согласование.</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13. При несогласии с проектом правового акта должностное лицо излагает свои замечания в письменном виде, о чем на проекте правового акта при визировании делается отметка "замечания прилагаются", ставится подпись должностного лица и дата. Замечания оформляются отдельно, подписываются и прилагаются к проекту правового акта.</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14. В целях обеспечения возможности проведения независимой антикоррупционной экспертизы проектов приказов аппарата Губернатора Иркутской области и Правительства Иркутской области исполнители в течение рабочего дня, соответствующего дню направления указанных проектов приказов на согласование обеспечивают размещение этих проектов приказов на сайте аппарата Губернатора Иркутской области и Правительства Иркутской области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15. В целях проведения процедуры оценки регулирующего воздействия проектов приказов аппарата Губернатора Иркутской области и Правительства Иркутской области исполнители в течение двух рабочих дней со дня направления указанных проектов приказов на согласование обеспечивают размещение уведомления о подготовке проекта приказа на сайте аппарата Губернатора Иркутской области и Правительства Иркутской области в информационно-телекоммуникационной сети "Интернет" в порядке, установленном Правительством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r w:rsidRPr="00BE4552">
        <w:rPr>
          <w:rFonts w:ascii="Times New Roman" w:hAnsi="Times New Roman" w:cs="Times New Roman"/>
          <w:sz w:val="24"/>
          <w:szCs w:val="24"/>
        </w:rPr>
        <w:t xml:space="preserve">16. Проекты правовых актов, оформленные и согласованные в установленном </w:t>
      </w:r>
      <w:r w:rsidRPr="00BE4552">
        <w:rPr>
          <w:rFonts w:ascii="Times New Roman" w:hAnsi="Times New Roman" w:cs="Times New Roman"/>
          <w:sz w:val="24"/>
          <w:szCs w:val="24"/>
        </w:rPr>
        <w:lastRenderedPageBreak/>
        <w:t>порядке, передаются на подписание руководителю аппарата Губернатора Иркутской области 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Руководитель аппарата</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Губернатора Иркутской области</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и Правительства Иркутской области</w:t>
      </w:r>
    </w:p>
    <w:p w:rsidR="00BE4552" w:rsidRPr="00BE4552" w:rsidRDefault="00BE4552" w:rsidP="00BE4552">
      <w:pPr>
        <w:pStyle w:val="ConsPlusNormal"/>
        <w:jc w:val="right"/>
        <w:rPr>
          <w:rFonts w:ascii="Times New Roman" w:hAnsi="Times New Roman" w:cs="Times New Roman"/>
          <w:i/>
          <w:sz w:val="24"/>
          <w:szCs w:val="24"/>
        </w:rPr>
      </w:pPr>
      <w:r w:rsidRPr="00BE4552">
        <w:rPr>
          <w:rFonts w:ascii="Times New Roman" w:hAnsi="Times New Roman" w:cs="Times New Roman"/>
          <w:i/>
          <w:sz w:val="24"/>
          <w:szCs w:val="24"/>
        </w:rPr>
        <w:t>М.Е.</w:t>
      </w:r>
      <w:r w:rsidRPr="00BE4552">
        <w:rPr>
          <w:rFonts w:ascii="Times New Roman" w:hAnsi="Times New Roman" w:cs="Times New Roman"/>
          <w:i/>
          <w:sz w:val="24"/>
          <w:szCs w:val="24"/>
        </w:rPr>
        <w:t xml:space="preserve"> </w:t>
      </w:r>
      <w:r w:rsidRPr="00BE4552">
        <w:rPr>
          <w:rFonts w:ascii="Times New Roman" w:hAnsi="Times New Roman" w:cs="Times New Roman"/>
          <w:i/>
          <w:sz w:val="24"/>
          <w:szCs w:val="24"/>
        </w:rPr>
        <w:t>А</w:t>
      </w:r>
      <w:r w:rsidRPr="00BE4552">
        <w:rPr>
          <w:rFonts w:ascii="Times New Roman" w:hAnsi="Times New Roman" w:cs="Times New Roman"/>
          <w:i/>
          <w:sz w:val="24"/>
          <w:szCs w:val="24"/>
        </w:rPr>
        <w:t>вдеев</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rmal"/>
        <w:jc w:val="right"/>
        <w:outlineLvl w:val="1"/>
        <w:rPr>
          <w:rFonts w:ascii="Times New Roman" w:hAnsi="Times New Roman" w:cs="Times New Roman"/>
          <w:sz w:val="24"/>
          <w:szCs w:val="24"/>
        </w:rPr>
      </w:pPr>
      <w:bookmarkStart w:id="3" w:name="Par85"/>
      <w:bookmarkEnd w:id="3"/>
      <w:r w:rsidRPr="00BE4552">
        <w:rPr>
          <w:rFonts w:ascii="Times New Roman" w:hAnsi="Times New Roman" w:cs="Times New Roman"/>
          <w:sz w:val="24"/>
          <w:szCs w:val="24"/>
        </w:rPr>
        <w:t>Приложение</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к Порядку принятия правовых актов</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аппарата Губернатора Иркутской области</w:t>
      </w:r>
    </w:p>
    <w:p w:rsidR="00BE4552" w:rsidRPr="00BE4552" w:rsidRDefault="00BE4552" w:rsidP="00BE4552">
      <w:pPr>
        <w:pStyle w:val="ConsPlusNormal"/>
        <w:jc w:val="right"/>
        <w:rPr>
          <w:rFonts w:ascii="Times New Roman" w:hAnsi="Times New Roman" w:cs="Times New Roman"/>
          <w:sz w:val="24"/>
          <w:szCs w:val="24"/>
        </w:rPr>
      </w:pPr>
      <w:r w:rsidRPr="00BE4552">
        <w:rPr>
          <w:rFonts w:ascii="Times New Roman" w:hAnsi="Times New Roman" w:cs="Times New Roman"/>
          <w:sz w:val="24"/>
          <w:szCs w:val="24"/>
        </w:rPr>
        <w:t>и Правительства Иркутской области</w:t>
      </w:r>
    </w:p>
    <w:p w:rsidR="00BE4552" w:rsidRPr="00BE4552" w:rsidRDefault="00BE4552" w:rsidP="00BE4552">
      <w:pPr>
        <w:pStyle w:val="ConsPlusNormal"/>
        <w:ind w:firstLine="540"/>
        <w:jc w:val="both"/>
        <w:rPr>
          <w:rFonts w:ascii="Times New Roman" w:hAnsi="Times New Roman" w:cs="Times New Roman"/>
          <w:sz w:val="24"/>
          <w:szCs w:val="24"/>
        </w:rPr>
      </w:pPr>
    </w:p>
    <w:p w:rsidR="00BE4552" w:rsidRPr="00BE4552" w:rsidRDefault="00BE4552" w:rsidP="00BE4552">
      <w:pPr>
        <w:pStyle w:val="ConsPlusNonformat"/>
        <w:jc w:val="center"/>
        <w:rPr>
          <w:rFonts w:ascii="Times New Roman" w:hAnsi="Times New Roman" w:cs="Times New Roman"/>
          <w:sz w:val="24"/>
          <w:szCs w:val="24"/>
        </w:rPr>
      </w:pPr>
      <w:bookmarkStart w:id="4" w:name="Par90"/>
      <w:bookmarkEnd w:id="4"/>
      <w:r w:rsidRPr="00BE4552">
        <w:rPr>
          <w:rFonts w:ascii="Times New Roman" w:hAnsi="Times New Roman" w:cs="Times New Roman"/>
          <w:sz w:val="24"/>
          <w:szCs w:val="24"/>
        </w:rPr>
        <w:t>КОНТРОЛЬНАЯ КАРТА СОГЛАСОВАНИЯ</w:t>
      </w:r>
    </w:p>
    <w:p w:rsidR="00BE4552" w:rsidRPr="00BE4552" w:rsidRDefault="00BE4552" w:rsidP="00BE4552">
      <w:pPr>
        <w:pStyle w:val="ConsPlusNonformat"/>
        <w:jc w:val="center"/>
        <w:rPr>
          <w:rFonts w:ascii="Times New Roman" w:hAnsi="Times New Roman" w:cs="Times New Roman"/>
          <w:sz w:val="24"/>
          <w:szCs w:val="24"/>
        </w:rPr>
      </w:pPr>
      <w:r w:rsidRPr="00BE4552">
        <w:rPr>
          <w:rFonts w:ascii="Times New Roman" w:hAnsi="Times New Roman" w:cs="Times New Roman"/>
          <w:sz w:val="24"/>
          <w:szCs w:val="24"/>
        </w:rPr>
        <w:t>проекта правового акта аппарата Губернатора Иркутской области</w:t>
      </w:r>
    </w:p>
    <w:p w:rsidR="00BE4552" w:rsidRPr="00BE4552" w:rsidRDefault="00BE4552" w:rsidP="00BE4552">
      <w:pPr>
        <w:pStyle w:val="ConsPlusNonformat"/>
        <w:jc w:val="center"/>
        <w:rPr>
          <w:rFonts w:ascii="Times New Roman" w:hAnsi="Times New Roman" w:cs="Times New Roman"/>
          <w:sz w:val="24"/>
          <w:szCs w:val="24"/>
        </w:rPr>
      </w:pPr>
      <w:r w:rsidRPr="00BE4552">
        <w:rPr>
          <w:rFonts w:ascii="Times New Roman" w:hAnsi="Times New Roman" w:cs="Times New Roman"/>
          <w:sz w:val="24"/>
          <w:szCs w:val="24"/>
        </w:rPr>
        <w:t>и Правительства Иркутской области</w:t>
      </w:r>
    </w:p>
    <w:p w:rsidR="00BE4552" w:rsidRPr="00BE4552" w:rsidRDefault="00BE4552" w:rsidP="00BE4552">
      <w:pPr>
        <w:pStyle w:val="ConsPlusNonformat"/>
        <w:jc w:val="center"/>
        <w:rPr>
          <w:rFonts w:ascii="Times New Roman" w:hAnsi="Times New Roman" w:cs="Times New Roman"/>
          <w:sz w:val="24"/>
          <w:szCs w:val="24"/>
        </w:rPr>
      </w:pP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Вид проекта: __________________________________________________________</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___________________________________________________________________________</w:t>
      </w:r>
    </w:p>
    <w:p w:rsidR="00BE4552" w:rsidRPr="00BE4552" w:rsidRDefault="00BE4552" w:rsidP="00BE4552">
      <w:pPr>
        <w:pStyle w:val="ConsPlusNonformat"/>
        <w:rPr>
          <w:rFonts w:ascii="Times New Roman" w:hAnsi="Times New Roman" w:cs="Times New Roman"/>
          <w:sz w:val="24"/>
          <w:szCs w:val="24"/>
        </w:rPr>
      </w:pP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Наименование проекта: _________________________________________________</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___________________________________________________________________________</w:t>
      </w:r>
    </w:p>
    <w:p w:rsidR="00BE4552" w:rsidRPr="00BE4552" w:rsidRDefault="00BE4552" w:rsidP="00BE4552">
      <w:pPr>
        <w:pStyle w:val="ConsPlusNonformat"/>
        <w:rPr>
          <w:rFonts w:ascii="Times New Roman" w:hAnsi="Times New Roman" w:cs="Times New Roman"/>
          <w:sz w:val="24"/>
          <w:szCs w:val="24"/>
        </w:rPr>
      </w:pP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Должность,    фамилия,    имя,    отчество   и   подпись   руководителя</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самостоятельного  структурного подразделения аппарата Губернатора Иркутской</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области  и  Правительства  Иркутской  области,  государственного учреждения</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Иркутской области, подготовившего проект:__________________________________</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___________________________________________________________________________</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___________________________________</w:t>
      </w: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дата подготовки проекта</w:t>
      </w:r>
    </w:p>
    <w:p w:rsidR="00BE4552" w:rsidRPr="00BE4552" w:rsidRDefault="00BE4552" w:rsidP="00BE4552">
      <w:pPr>
        <w:pStyle w:val="ConsPlusNonformat"/>
        <w:rPr>
          <w:rFonts w:ascii="Times New Roman" w:hAnsi="Times New Roman" w:cs="Times New Roman"/>
          <w:sz w:val="24"/>
          <w:szCs w:val="24"/>
        </w:rPr>
      </w:pP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Кем согласован проект:</w:t>
      </w:r>
    </w:p>
    <w:p w:rsidR="00BE4552" w:rsidRPr="00BE4552" w:rsidRDefault="00BE4552" w:rsidP="00BE4552">
      <w:pPr>
        <w:pStyle w:val="ConsPlusNormal"/>
        <w:rPr>
          <w:rFonts w:ascii="Times New Roman" w:hAnsi="Times New Roman" w:cs="Times New Roman"/>
          <w:sz w:val="24"/>
          <w:szCs w:val="24"/>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871"/>
        <w:gridCol w:w="907"/>
        <w:gridCol w:w="2062"/>
        <w:gridCol w:w="1587"/>
        <w:gridCol w:w="850"/>
        <w:gridCol w:w="2158"/>
      </w:tblGrid>
      <w:tr w:rsidR="00BE4552" w:rsidRPr="00BE4552" w:rsidTr="00AF0D3F">
        <w:tc>
          <w:tcPr>
            <w:tcW w:w="18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Ф.И.О. лица, согласовавшего проект</w:t>
            </w:r>
          </w:p>
        </w:tc>
        <w:tc>
          <w:tcPr>
            <w:tcW w:w="29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Поступление проекта на согласование</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Дата согласования</w:t>
            </w:r>
          </w:p>
        </w:tc>
        <w:tc>
          <w:tcPr>
            <w:tcW w:w="300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Возвращение проекта после согласования</w:t>
            </w:r>
          </w:p>
        </w:tc>
      </w:tr>
      <w:tr w:rsidR="00BE4552" w:rsidRPr="00BE4552" w:rsidTr="00AF0D3F">
        <w:tc>
          <w:tcPr>
            <w:tcW w:w="18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дата, время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инициалы, фамилия, подпись лица, принявшего проект</w:t>
            </w: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дата, время</w:t>
            </w: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r w:rsidRPr="00BE4552">
              <w:rPr>
                <w:rFonts w:ascii="Times New Roman" w:hAnsi="Times New Roman" w:cs="Times New Roman"/>
                <w:sz w:val="24"/>
                <w:szCs w:val="24"/>
              </w:rPr>
              <w:t>инициалы, фамилия, подпись лица, получившего проект</w:t>
            </w:r>
          </w:p>
        </w:tc>
      </w:tr>
      <w:tr w:rsidR="00BE4552" w:rsidRPr="00BE4552" w:rsidTr="00AF0D3F">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r>
      <w:tr w:rsidR="00BE4552" w:rsidRPr="00BE4552" w:rsidTr="00AF0D3F">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r>
      <w:tr w:rsidR="00BE4552" w:rsidRPr="00BE4552" w:rsidTr="00AF0D3F">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r>
      <w:tr w:rsidR="00BE4552" w:rsidRPr="00BE4552" w:rsidTr="00AF0D3F">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r>
      <w:tr w:rsidR="00BE4552" w:rsidRPr="00BE4552" w:rsidTr="00AF0D3F">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E4552" w:rsidRPr="00BE4552" w:rsidRDefault="00BE4552" w:rsidP="00AF0D3F">
            <w:pPr>
              <w:pStyle w:val="ConsPlusNormal"/>
              <w:jc w:val="center"/>
              <w:rPr>
                <w:rFonts w:ascii="Times New Roman" w:hAnsi="Times New Roman" w:cs="Times New Roman"/>
                <w:sz w:val="24"/>
                <w:szCs w:val="24"/>
              </w:rPr>
            </w:pPr>
          </w:p>
        </w:tc>
      </w:tr>
    </w:tbl>
    <w:p w:rsidR="00BE4552" w:rsidRPr="00BE4552" w:rsidRDefault="00BE4552" w:rsidP="00BE4552">
      <w:pPr>
        <w:pStyle w:val="ConsPlusNormal"/>
        <w:rPr>
          <w:rFonts w:ascii="Times New Roman" w:hAnsi="Times New Roman" w:cs="Times New Roman"/>
          <w:sz w:val="24"/>
          <w:szCs w:val="24"/>
        </w:rPr>
      </w:pPr>
    </w:p>
    <w:p w:rsidR="00BE4552"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 xml:space="preserve">    Инициалы,  фамилия,  подпись  и телефон лица, сдавшего проект (вместе с</w:t>
      </w:r>
    </w:p>
    <w:p w:rsidR="004C7CE9" w:rsidRPr="00BE4552" w:rsidRDefault="00BE4552" w:rsidP="00BE4552">
      <w:pPr>
        <w:pStyle w:val="ConsPlusNonformat"/>
        <w:rPr>
          <w:rFonts w:ascii="Times New Roman" w:hAnsi="Times New Roman" w:cs="Times New Roman"/>
          <w:sz w:val="24"/>
          <w:szCs w:val="24"/>
        </w:rPr>
      </w:pPr>
      <w:r w:rsidRPr="00BE4552">
        <w:rPr>
          <w:rFonts w:ascii="Times New Roman" w:hAnsi="Times New Roman" w:cs="Times New Roman"/>
          <w:sz w:val="24"/>
          <w:szCs w:val="24"/>
        </w:rPr>
        <w:t>электронной версией): ________________________________________________________</w:t>
      </w:r>
    </w:p>
    <w:sectPr w:rsidR="004C7CE9" w:rsidRPr="00BE4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B9"/>
    <w:rsid w:val="004C7CE9"/>
    <w:rsid w:val="00B85DB9"/>
    <w:rsid w:val="00BE4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5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E45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5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E45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B11F3587F40E20AF3FADF01A318D4DE774C741A3C51663AC759B763C419073FD8I" TargetMode="External"/><Relationship Id="rId3" Type="http://schemas.openxmlformats.org/officeDocument/2006/relationships/settings" Target="settings.xml"/><Relationship Id="rId7" Type="http://schemas.openxmlformats.org/officeDocument/2006/relationships/hyperlink" Target="consultantplus://offline/ref=07BB11F3587F40E20AF3E4D217CF42D8DD74157C196D0B3633CD0C3ED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7BB11F3587F40E20AF3FADF01A318D4DE774C741A3C51663AC759B763C41907F8C54363D49621D23C10463ED0I" TargetMode="External"/><Relationship Id="rId11" Type="http://schemas.openxmlformats.org/officeDocument/2006/relationships/theme" Target="theme/theme1.xml"/><Relationship Id="rId5" Type="http://schemas.openxmlformats.org/officeDocument/2006/relationships/hyperlink" Target="consultantplus://offline/ref=07BB11F3587F40E20AF3FADF01A318D4DE774C741B3D50623FC759B763C41907F8C54363D49621D23C13403EDB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7BB11F3587F40E20AF3FADF01A318D4DE774C741B3D50623FC759B763C419073F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2510</Words>
  <Characters>14312</Characters>
  <Application>Microsoft Office Word</Application>
  <DocSecurity>0</DocSecurity>
  <Lines>119</Lines>
  <Paragraphs>33</Paragraphs>
  <ScaleCrop>false</ScaleCrop>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Николаевна</dc:creator>
  <cp:keywords/>
  <dc:description/>
  <cp:lastModifiedBy>Бычкова Елена Николаевна</cp:lastModifiedBy>
  <cp:revision>2</cp:revision>
  <dcterms:created xsi:type="dcterms:W3CDTF">2015-03-17T08:26:00Z</dcterms:created>
  <dcterms:modified xsi:type="dcterms:W3CDTF">2015-03-17T08:32:00Z</dcterms:modified>
</cp:coreProperties>
</file>