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22 октября 2012 г. 154</w:t>
      </w:r>
    </w:p>
    <w:p w:rsidR="00000000" w:rsidRDefault="004939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ЗАКОН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КАЛИНИНГРАДСКОЙ ОБЛАСТИ</w:t>
      </w:r>
    </w:p>
    <w:p w:rsidR="00000000" w:rsidRDefault="004939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ВВЕДЕНИИ ПАТЕНТНОЙ СИСТЕМЫ НАЛОГООБЛОЖЕНИЯ НА ТЕРРИТОРИИ КАЛИНИНГРАДСКОЙ ОБЛАСТИ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Законов Калининградской области от 27.11.2015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481, от 30.03.2017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58, от 28.11.2017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119,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28.11.2019 N 346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23.11.2020 N 473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22.12.2020 N 494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26.04.2021 N 551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19.04.2022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26.11.2025 N 488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939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Калининградской областной Думой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11 октября 2012 года</w:t>
      </w:r>
    </w:p>
    <w:p w:rsidR="00000000" w:rsidRDefault="004939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Законом в соответствии со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346.43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главы 26.5 "Патентная система налогообложения" Налогового кодекса Российской Федерации на территории Калининградской области вводится патентная система налогообложения.</w:t>
      </w:r>
    </w:p>
    <w:p w:rsidR="00000000" w:rsidRDefault="004939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 (в ред. Закона Калинин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градской области </w:t>
      </w:r>
      <w:hyperlink r:id="rId1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23.11.2020 N 473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Установить размеры потенциально возможного к получению индивидуальным предпринимателем годового дохода по видам предпринимательской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деятельности, в отношении которых применяется патентная система налогообложения, согласно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Закону.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Дифференцировать территорию Калининградской об</w:t>
      </w:r>
      <w:r>
        <w:rPr>
          <w:rFonts w:ascii="Times New Roman" w:hAnsi="Times New Roman" w:cs="Times New Roman"/>
          <w:sz w:val="24"/>
          <w:szCs w:val="24"/>
        </w:rPr>
        <w:t xml:space="preserve">ласти по территориям действия патентов, за исключением патентов на осуществление видов предпринимательской деятельности, указанных в пунктах 10, 11, 32, 33 и пункте 46 (в части, касающейся развозной и разносной розничной торговли)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приложения </w:t>
        </w:r>
      </w:hyperlink>
      <w:r>
        <w:rPr>
          <w:rFonts w:ascii="Times New Roman" w:hAnsi="Times New Roman" w:cs="Times New Roman"/>
          <w:sz w:val="24"/>
          <w:szCs w:val="24"/>
        </w:rPr>
        <w:t>к настоящему Закону, последующим группам муниципальных образований Калининградской области: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1-я группа - городской округ "Город Калининград", "Гурьевский муниципальный округ Калининградс</w:t>
      </w:r>
      <w:r>
        <w:rPr>
          <w:rFonts w:ascii="Times New Roman" w:hAnsi="Times New Roman" w:cs="Times New Roman"/>
          <w:sz w:val="24"/>
          <w:szCs w:val="24"/>
        </w:rPr>
        <w:t xml:space="preserve">кой области", "Светлогорский городской округ" Калининградской области; (в ред. Закона Калининградской области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26.11.2025 N 488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2-я группа - "Гусевский городской округ" </w:t>
      </w:r>
      <w:r>
        <w:rPr>
          <w:rFonts w:ascii="Times New Roman" w:hAnsi="Times New Roman" w:cs="Times New Roman"/>
          <w:sz w:val="24"/>
          <w:szCs w:val="24"/>
        </w:rPr>
        <w:t>Калининградской области, "Зеленоградский муниципальный округ Калининградской области", "Пионерский городской округ" Калининградской области, "Светловский городской округ" Калининградской области, "Янтарный городской округ" Калининградской области; (в ред. </w:t>
      </w:r>
      <w:r>
        <w:rPr>
          <w:rFonts w:ascii="Times New Roman" w:hAnsi="Times New Roman" w:cs="Times New Roman"/>
          <w:sz w:val="24"/>
          <w:szCs w:val="24"/>
        </w:rPr>
        <w:t xml:space="preserve">Закона Калининградской области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26.11.2025 N 488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3-я группа - "Багратионовский муниципальный округ Калининградской области", "Балтийский городской округ" Калининградской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области, "Гвардейский муниципальный округ Калининградской области", "Ладушкинский городской округ Калининградской области", "Мамоновский городской округ" Калининградской области, "Полесский муниципальный округ" Калининградской области, "Советский городско</w:t>
      </w:r>
      <w:r>
        <w:rPr>
          <w:rFonts w:ascii="Times New Roman" w:hAnsi="Times New Roman" w:cs="Times New Roman"/>
          <w:sz w:val="24"/>
          <w:szCs w:val="24"/>
        </w:rPr>
        <w:t xml:space="preserve">й округ" Калининградской области, "Черняховский муниципальный округ Калининградской области"; (в ред. Закона Калининградской области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26.11.2025 N 488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4-я группа - "Крас</w:t>
      </w:r>
      <w:r>
        <w:rPr>
          <w:rFonts w:ascii="Times New Roman" w:hAnsi="Times New Roman" w:cs="Times New Roman"/>
          <w:sz w:val="24"/>
          <w:szCs w:val="24"/>
        </w:rPr>
        <w:t>нознаменский муниципальный округ Калининградской области", "Неманский муниципальный округ Калининградской области", "Нестеровский муниципальный округ Калининградской области", "Озерский муниципальный округ Калининградской области", "Правдинский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ый округ Калининградской области", "Славский муниципальный округ Калининградской области". (в ред. Закона Калининградской области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26.11.2025 N 488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Установить коэффиц</w:t>
      </w:r>
      <w:r>
        <w:rPr>
          <w:rFonts w:ascii="Times New Roman" w:hAnsi="Times New Roman" w:cs="Times New Roman"/>
          <w:sz w:val="24"/>
          <w:szCs w:val="24"/>
        </w:rPr>
        <w:t>иенты, используемые при расчете размера потенциально возможного к получению индивидуальным предпринимателем годового дохода: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муниципальных образований Калининградской области 1-ой группы - "1,0", (в ред. Закона Калининградской области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26.11.2025 N 488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муниципальных образований Калининградской области 2-ой группы - "0,9", (в ред. Закона Калининградской области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26.11.2025 N 488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муниципальных образований Калининградской области 3-ей группы - "0,7", (в ред. Закона Калининградской области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26.11.2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025 N 488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муниципальных образований Калининградской области 4-ой группы - "0,4". (в ред. Закона Калининградской области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26.11.2025 N 488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Размеры потенциально</w:t>
      </w:r>
      <w:r>
        <w:rPr>
          <w:rFonts w:ascii="Times New Roman" w:hAnsi="Times New Roman" w:cs="Times New Roman"/>
          <w:sz w:val="24"/>
          <w:szCs w:val="24"/>
        </w:rPr>
        <w:t xml:space="preserve"> возможного к получению индивидуальным предпринимателем годового дохода, установленные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Закону, ежегодно подлежат индексации на коэффициент, учитыва</w:t>
      </w:r>
      <w:r>
        <w:rPr>
          <w:rFonts w:ascii="Times New Roman" w:hAnsi="Times New Roman" w:cs="Times New Roman"/>
          <w:sz w:val="24"/>
          <w:szCs w:val="24"/>
        </w:rPr>
        <w:t xml:space="preserve">ющий уровень инфляции, который рассчитывается и утверждается Министерством экономического развития, промышленности и торговли Калининградской области на соответствующий календарный год в установленном им порядке. (в ред. Закона Калининградской области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26.04.2021 N 551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Установить следующие ограничения для применения патентной системы налогообложения: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площадь сдаваемых в аренду (наем) собственных или арендованных ж</w:t>
      </w:r>
      <w:r>
        <w:rPr>
          <w:rFonts w:ascii="Times New Roman" w:hAnsi="Times New Roman" w:cs="Times New Roman"/>
          <w:sz w:val="24"/>
          <w:szCs w:val="24"/>
        </w:rPr>
        <w:t xml:space="preserve">илых помещений и (или) нежилых помещений (включая выставочные залы, складские помещения), земельных участков по виду предпринимательской деятельности, указанному в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приложения к настоящему Закону, не должна превышать 3 000 кв. метров включительно;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судов водного транспорта, принадлежащих индивидуальным предпринимателям на праве собственности или ином праве (пользования, владения и (или)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), предназначенных для оказания услуг по видам предпринимательской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деятельности, указанным в пунктах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приложения к настоящему Закону, - до 20 судов водного транспорта включительно;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объектов стационарной торговой сети по виду предпринимательской деятельности, указанному в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приложения к настоящему Закону, - до 10 объектов включительно;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объектов организации общественного питания по виду предпринимательской деятельности, указанному в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приложения к настоящему Закону, - до 10 объектов включительно.</w:t>
      </w:r>
    </w:p>
    <w:p w:rsidR="00000000" w:rsidRDefault="004939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1-1. - Утратила силу. (в ред. Закона Калининградской области </w:t>
      </w:r>
      <w:hyperlink r:id="rId3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23.11.2020 N 473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4939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000000" w:rsidRDefault="004939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Губернатор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Калининградской области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Н.Н. ЦУКАНОВ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Калининград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октября 2012 г.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154</w:t>
      </w:r>
    </w:p>
    <w:p w:rsidR="00000000" w:rsidRDefault="004939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Закону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Калининградской области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22 октября 2012 года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154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"О введении патентной системы налогообложения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 территории Калининградской области"</w:t>
      </w:r>
    </w:p>
    <w:p w:rsidR="00000000" w:rsidRDefault="004939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РАЗМЕРЫ ПОТЕНЦИАЛЬНО ВОЗМОЖНОГО К ПОЛУЧЕНИЮ ИНДИВИДУАЛЬНЫМ ПРЕДПРИНИ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МАТЕЛЕМ ГОДОВОГО ДОХОДА ПО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ВИДАМ ПРЕДПРИНИМАТЕЛЬСКОЙ ДЕЯТЕЛЬНОСТИ, В ОТНОШЕНИИ КОТОРЫХ ПРИМЕНЯЕТСЯ ПАТЕНТНАЯ СИСТЕМА НАЛОГООБЛОЖЕНИЯ (в ред. Законов Калининградской области </w:t>
      </w:r>
      <w:hyperlink r:id="rId31" w:history="1">
        <w:r>
          <w:rPr>
            <w:rFonts w:ascii="Times New Roman" w:hAnsi="Times New Roman" w:cs="Times New Roman"/>
            <w:b/>
            <w:bCs/>
            <w:sz w:val="36"/>
            <w:szCs w:val="36"/>
            <w:u w:val="single"/>
          </w:rPr>
          <w:t>от</w:t>
        </w:r>
        <w:r>
          <w:rPr>
            <w:rFonts w:ascii="Times New Roman" w:hAnsi="Times New Roman" w:cs="Times New Roman"/>
            <w:b/>
            <w:bCs/>
            <w:sz w:val="36"/>
            <w:szCs w:val="36"/>
            <w:u w:val="single"/>
          </w:rPr>
          <w:t xml:space="preserve"> 23.11.2020 N 473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hyperlink r:id="rId32" w:history="1">
        <w:r>
          <w:rPr>
            <w:rFonts w:ascii="Times New Roman" w:hAnsi="Times New Roman" w:cs="Times New Roman"/>
            <w:b/>
            <w:bCs/>
            <w:sz w:val="36"/>
            <w:szCs w:val="36"/>
            <w:u w:val="single"/>
          </w:rPr>
          <w:t>от 22.12.2020 N 494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hyperlink r:id="rId33" w:history="1">
        <w:r>
          <w:rPr>
            <w:rFonts w:ascii="Times New Roman" w:hAnsi="Times New Roman" w:cs="Times New Roman"/>
            <w:b/>
            <w:bCs/>
            <w:sz w:val="36"/>
            <w:szCs w:val="36"/>
            <w:u w:val="single"/>
          </w:rPr>
          <w:t>от 26.11.2025 N 488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000000" w:rsidRDefault="0049393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510"/>
        <w:gridCol w:w="1967"/>
        <w:gridCol w:w="1826"/>
        <w:gridCol w:w="157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деятельности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Физический показатель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индивидуального предпринимателя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на единицу физического показателя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пошив швейных,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ремонт, чистка, окраска и пошив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буви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парикмахерские и косметические услуги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средней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электронной бытовой техники, бытовых приборов,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часов, металлоизделий бытового и хозяйственного назначения, предметов и изделий из металла,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мебели и предметов домашнего обихода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в области фотографии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ремонт, техническое обслуживание автотранспортн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</w:p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автотранспортных услуг по перевозке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автотранспортного 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ченные для оказания таких услуг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автотранспортного средства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монтажных, электромонтажных, санитарно- технических и сварочных работ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единица средней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присмотру и уходу за детьми и больными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тары и пригодных для вторичного использования материалов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ветеринарная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квадратный метр площади 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аваемого в аренду (наем) собственного или арендованного жилого помещения и (или) нежилого помещения (включая выставочные залы, складские помещения), земельного участка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народных художественных промыслов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переработке продуктов сельского хозяйства, лесного хозяйства и рыболовства для приготовления продуктов питания для людей и корма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животных, а также производство различных продуктов промежуточного 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ебления, которые не являются пищевыми продуктами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и реставрация ковров и ковровых изделий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ювелирных издел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 бижутерии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чеканка и гравировка ювелирных изделий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 специализирован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в области дизайна, услуги художественного оформления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физической культуре и спорту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носильщик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платных туалетов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уги по приготовлению и поставке блюд для торжественных мероприятий или иных событий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перевозке пассажиров водным транспортом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средства водного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перевозке грузов водным транспортом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средства водного транспорта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ятельность по благоустройству ландшафта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"Об обращении лекарственных средств"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прокату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экскурсионные туристические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похорон и предоставление связанных с ними услуг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Пункт утратил силу.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 Закона Калининградской области </w:t>
            </w:r>
            <w:hyperlink r:id="rId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26.11.2025 N 488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квадратный метр площади торгового зала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Закона Калининградской области </w:t>
            </w:r>
            <w:hyperlink r:id="rId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22.12.2020 N 494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сети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объект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квадратный метр площади зала обслуживания посетителей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Закона Калининградской области </w:t>
            </w:r>
            <w:hyperlink r:id="rId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22.12.2020 N 494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объект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забою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транспортировке скота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кожи и изделий из кожи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заготовка пищевых лесных ресурсов, недревесных лесных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урсов и лекарственных растений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фруктов и овощей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молочной продукции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растениеводство, услуги в области растениеводства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лесоводство и прочая лесохозяйственная деятельность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письменному и устному переводу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за престарелыми и инвалидами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-страниц, включая их адаптацию и модификацию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компьютеров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коммуникационного оборудования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единица средней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животноводство, услуги в области животноводства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стоян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для транспортных средств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квадратный метр площади стоянки для транспортных средств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уходу за домашними животными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валяной обуви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ремон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деревянных лодок по индивидуальному заказу населения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игрушек и подобных им изделий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спортивного и туристическ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оборудования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средней численности наемных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распиловке дров по индивидуальному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заказу населения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сборка и ремонт очков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печатание визитных карточек и пригласительных билетов на семейные 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переплетные, брошюровочные, окантовочные, картонажные работы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ремонту сифонов и автосифонов, в том числе зар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ядка газовых баллончиков для сифонов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бань и душевых по предоставлению общегигиенических услуг; деятельность саун, соляриев, салонов для снижения веса и похудения и т.п.;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астрологов и медиумов; социальные услуги, такие как услуги эскорта, бюро знакомств и брачных агентств; деятельность генеалогических организаций; деятельность салонов татуажа и пирсинга; услуги чистильщиков обуви, швейцаров, парковщиков автомобилей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т.д.; деятельность, связанная с эксплуатацией автоматов личного обслуживания (фотокабинок, аппаратов для взвешивания, измерения кровяного давления, автоматических камер хранения и т.д.); услуги наемных писателей;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справочно-информационной службы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казанию услуг населению по заполнению бланков, написанию заявлений, снятию копий по индивидуальному заказу населения; услуги справочно-информационной службы по приему в расклейку объявлений; услуги копировально-множительные по индивидуальному заказу населе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 услуги посреднические на информацию о финансовых, экономических и промышленных и иных данных по индивидуальному заказу населения; услуги по оборудованию квартир (навеска карнизов, картин, вешалок, зеркал и др. предметов); услуги по стирке и глажению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елья на дому у заказчика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 средней численности наемных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квадратный метр помещения для временного размещения и проживания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9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</w:tbl>
    <w:p w:rsidR="00000000" w:rsidRDefault="004939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35"/>
    <w:rsid w:val="0049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39&amp;documentid=25654#l2" TargetMode="External"/><Relationship Id="rId13" Type="http://schemas.openxmlformats.org/officeDocument/2006/relationships/hyperlink" Target="https://normativ.kontur.ru/document?moduleId=139&amp;documentId=32141#l120" TargetMode="External"/><Relationship Id="rId18" Type="http://schemas.openxmlformats.org/officeDocument/2006/relationships/hyperlink" Target="https://normativ.kontur.ru/document?moduleid=139&amp;documentid=32130#l23" TargetMode="External"/><Relationship Id="rId26" Type="http://schemas.openxmlformats.org/officeDocument/2006/relationships/hyperlink" Target="https://normativ.kontur.ru/document?moduleId=139&amp;documentId=32141#l132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39&amp;documentid=32130#l28" TargetMode="External"/><Relationship Id="rId34" Type="http://schemas.openxmlformats.org/officeDocument/2006/relationships/hyperlink" Target="https://normativ.kontur.ru/document?moduleid=1&amp;documentid=420571#l0" TargetMode="External"/><Relationship Id="rId7" Type="http://schemas.openxmlformats.org/officeDocument/2006/relationships/hyperlink" Target="https://normativ.kontur.ru/document?moduleid=139&amp;documentid=25484#l2" TargetMode="External"/><Relationship Id="rId12" Type="http://schemas.openxmlformats.org/officeDocument/2006/relationships/hyperlink" Target="https://normativ.kontur.ru/document?moduleid=139&amp;documentid=25897#l8" TargetMode="External"/><Relationship Id="rId17" Type="http://schemas.openxmlformats.org/officeDocument/2006/relationships/hyperlink" Target="https://normativ.kontur.ru/document?moduleid=139&amp;documentid=32130#l23" TargetMode="External"/><Relationship Id="rId25" Type="http://schemas.openxmlformats.org/officeDocument/2006/relationships/hyperlink" Target="https://normativ.kontur.ru/document?moduleId=139&amp;documentId=32141#l128" TargetMode="External"/><Relationship Id="rId33" Type="http://schemas.openxmlformats.org/officeDocument/2006/relationships/hyperlink" Target="https://normativ.kontur.ru/document?moduleid=139&amp;documentid=32130#l29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39&amp;documentid=32130#l23" TargetMode="External"/><Relationship Id="rId20" Type="http://schemas.openxmlformats.org/officeDocument/2006/relationships/hyperlink" Target="https://normativ.kontur.ru/document?moduleid=139&amp;documentid=32130#l28" TargetMode="External"/><Relationship Id="rId29" Type="http://schemas.openxmlformats.org/officeDocument/2006/relationships/hyperlink" Target="https://normativ.kontur.ru/document?moduleId=139&amp;documentId=32141#l13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39&amp;documentid=25897#l1" TargetMode="External"/><Relationship Id="rId11" Type="http://schemas.openxmlformats.org/officeDocument/2006/relationships/hyperlink" Target="https://normativ.kontur.ru/document?moduleid=1&amp;documentid=420851#l9781" TargetMode="External"/><Relationship Id="rId24" Type="http://schemas.openxmlformats.org/officeDocument/2006/relationships/hyperlink" Target="https://normativ.kontur.ru/document?moduleid=139&amp;documentid=25654#l9" TargetMode="External"/><Relationship Id="rId32" Type="http://schemas.openxmlformats.org/officeDocument/2006/relationships/hyperlink" Target="https://normativ.kontur.ru/document?moduleid=139&amp;documentid=25484#l8" TargetMode="External"/><Relationship Id="rId37" Type="http://schemas.openxmlformats.org/officeDocument/2006/relationships/hyperlink" Target="https://normativ.kontur.ru/document?moduleid=139&amp;documentid=25484#l9" TargetMode="External"/><Relationship Id="rId5" Type="http://schemas.openxmlformats.org/officeDocument/2006/relationships/hyperlink" Target="https://normativ.kontur.ru/document?moduleid=139&amp;documentid=23385#l2" TargetMode="External"/><Relationship Id="rId15" Type="http://schemas.openxmlformats.org/officeDocument/2006/relationships/hyperlink" Target="https://normativ.kontur.ru/document?moduleid=139&amp;documentid=32130#l23" TargetMode="External"/><Relationship Id="rId23" Type="http://schemas.openxmlformats.org/officeDocument/2006/relationships/hyperlink" Target="https://normativ.kontur.ru/document?moduleId=139&amp;documentId=32141#l58" TargetMode="External"/><Relationship Id="rId28" Type="http://schemas.openxmlformats.org/officeDocument/2006/relationships/hyperlink" Target="https://normativ.kontur.ru/document?moduleId=139&amp;documentId=32141#l135" TargetMode="External"/><Relationship Id="rId36" Type="http://schemas.openxmlformats.org/officeDocument/2006/relationships/hyperlink" Target="https://normativ.kontur.ru/document?moduleid=139&amp;documentid=25484#l9" TargetMode="External"/><Relationship Id="rId10" Type="http://schemas.openxmlformats.org/officeDocument/2006/relationships/hyperlink" Target="https://normativ.kontur.ru/document?moduleid=139&amp;documentid=32130#l0" TargetMode="External"/><Relationship Id="rId19" Type="http://schemas.openxmlformats.org/officeDocument/2006/relationships/hyperlink" Target="https://normativ.kontur.ru/document?moduleid=139&amp;documentid=32130#l28" TargetMode="External"/><Relationship Id="rId31" Type="http://schemas.openxmlformats.org/officeDocument/2006/relationships/hyperlink" Target="https://normativ.kontur.ru/document?moduleid=139&amp;documentid=25897#l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39&amp;documentid=26040#l2" TargetMode="External"/><Relationship Id="rId14" Type="http://schemas.openxmlformats.org/officeDocument/2006/relationships/hyperlink" Target="https://normativ.kontur.ru/document?moduleId=139&amp;documentId=32141#l58" TargetMode="External"/><Relationship Id="rId22" Type="http://schemas.openxmlformats.org/officeDocument/2006/relationships/hyperlink" Target="https://normativ.kontur.ru/document?moduleid=139&amp;documentid=32130#l28" TargetMode="External"/><Relationship Id="rId27" Type="http://schemas.openxmlformats.org/officeDocument/2006/relationships/hyperlink" Target="https://normativ.kontur.ru/document?moduleId=139&amp;documentId=32141#l132" TargetMode="External"/><Relationship Id="rId30" Type="http://schemas.openxmlformats.org/officeDocument/2006/relationships/hyperlink" Target="https://normativ.kontur.ru/document?moduleid=139&amp;documentid=25897#l28" TargetMode="External"/><Relationship Id="rId35" Type="http://schemas.openxmlformats.org/officeDocument/2006/relationships/hyperlink" Target="https://normativ.kontur.ru/document?moduleid=139&amp;documentid=32130#l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3398</Words>
  <Characters>19371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Галыгин Д.В</dc:creator>
  <cp:lastModifiedBy>Галыгин Д.В</cp:lastModifiedBy>
  <cp:revision>2</cp:revision>
  <dcterms:created xsi:type="dcterms:W3CDTF">2026-05-14T07:40:00Z</dcterms:created>
  <dcterms:modified xsi:type="dcterms:W3CDTF">2026-05-14T07:40:00Z</dcterms:modified>
</cp:coreProperties>
</file>