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61AF7" w:rsidRPr="00AC787F" w:rsidTr="00AC78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22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N 154</w:t>
            </w:r>
          </w:p>
        </w:tc>
      </w:tr>
    </w:tbl>
    <w:p w:rsidR="00561AF7" w:rsidRPr="00AC787F" w:rsidRDefault="00561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AF7" w:rsidRPr="00AC787F" w:rsidRDefault="00561AF7">
      <w:pPr>
        <w:pStyle w:val="ConsPlusNormal"/>
        <w:jc w:val="center"/>
      </w:pPr>
    </w:p>
    <w:p w:rsidR="00561AF7" w:rsidRPr="00AC787F" w:rsidRDefault="00561AF7">
      <w:pPr>
        <w:pStyle w:val="ConsPlusTitle"/>
        <w:jc w:val="center"/>
      </w:pPr>
      <w:r w:rsidRPr="00AC787F">
        <w:t>РОССИЙСКАЯ ФЕДЕРАЦИЯ</w:t>
      </w:r>
    </w:p>
    <w:p w:rsidR="00561AF7" w:rsidRPr="00AC787F" w:rsidRDefault="00561AF7">
      <w:pPr>
        <w:pStyle w:val="ConsPlusTitle"/>
        <w:jc w:val="center"/>
      </w:pPr>
    </w:p>
    <w:p w:rsidR="00561AF7" w:rsidRPr="00AC787F" w:rsidRDefault="00561AF7">
      <w:pPr>
        <w:pStyle w:val="ConsPlusTitle"/>
        <w:jc w:val="center"/>
      </w:pPr>
      <w:r w:rsidRPr="00AC787F">
        <w:t>ЗАКОН</w:t>
      </w:r>
    </w:p>
    <w:p w:rsidR="00561AF7" w:rsidRPr="00AC787F" w:rsidRDefault="00561AF7">
      <w:pPr>
        <w:pStyle w:val="ConsPlusTitle"/>
        <w:jc w:val="center"/>
      </w:pPr>
      <w:r w:rsidRPr="00AC787F">
        <w:t>КАЛИНИНГРАДСКОЙ ОБЛАСТИ</w:t>
      </w:r>
    </w:p>
    <w:p w:rsidR="00561AF7" w:rsidRPr="00AC787F" w:rsidRDefault="00561AF7">
      <w:pPr>
        <w:pStyle w:val="ConsPlusTitle"/>
        <w:jc w:val="center"/>
      </w:pPr>
    </w:p>
    <w:p w:rsidR="00561AF7" w:rsidRPr="00AC787F" w:rsidRDefault="00561AF7">
      <w:pPr>
        <w:pStyle w:val="ConsPlusTitle"/>
        <w:jc w:val="center"/>
      </w:pPr>
      <w:r w:rsidRPr="00AC787F">
        <w:t>О введении патентной системы налогообложения</w:t>
      </w:r>
    </w:p>
    <w:p w:rsidR="00561AF7" w:rsidRPr="00AC787F" w:rsidRDefault="00561AF7">
      <w:pPr>
        <w:pStyle w:val="ConsPlusTitle"/>
        <w:jc w:val="center"/>
      </w:pPr>
      <w:r w:rsidRPr="00AC787F">
        <w:t>на территории Калининградской области</w:t>
      </w:r>
    </w:p>
    <w:p w:rsidR="00561AF7" w:rsidRPr="00AC787F" w:rsidRDefault="00561AF7">
      <w:pPr>
        <w:pStyle w:val="ConsPlusNormal"/>
        <w:jc w:val="center"/>
      </w:pPr>
    </w:p>
    <w:p w:rsidR="00561AF7" w:rsidRPr="00AC787F" w:rsidRDefault="00561AF7">
      <w:pPr>
        <w:pStyle w:val="ConsPlusNormal"/>
        <w:jc w:val="center"/>
      </w:pPr>
      <w:proofErr w:type="gramStart"/>
      <w:r w:rsidRPr="00AC787F">
        <w:t>(Принят Калининградской областной Думой пятого созыва</w:t>
      </w:r>
      <w:proofErr w:type="gramEnd"/>
    </w:p>
    <w:p w:rsidR="00561AF7" w:rsidRPr="00AC787F" w:rsidRDefault="00561AF7">
      <w:pPr>
        <w:pStyle w:val="ConsPlusNormal"/>
        <w:jc w:val="center"/>
      </w:pPr>
      <w:proofErr w:type="gramStart"/>
      <w:r w:rsidRPr="00AC787F">
        <w:t>11 октября 2012 года)</w:t>
      </w:r>
      <w:proofErr w:type="gramEnd"/>
    </w:p>
    <w:p w:rsidR="00561AF7" w:rsidRPr="00AC787F" w:rsidRDefault="00561AF7">
      <w:pPr>
        <w:pStyle w:val="ConsPlusNormal"/>
        <w:jc w:val="center"/>
      </w:pPr>
    </w:p>
    <w:p w:rsidR="00561AF7" w:rsidRPr="00AC787F" w:rsidRDefault="00561AF7">
      <w:pPr>
        <w:pStyle w:val="ConsPlusNormal"/>
        <w:jc w:val="center"/>
      </w:pPr>
      <w:r w:rsidRPr="00AC787F">
        <w:t>Список изменяющих документов</w:t>
      </w:r>
    </w:p>
    <w:p w:rsidR="00561AF7" w:rsidRPr="00AC787F" w:rsidRDefault="00561AF7">
      <w:pPr>
        <w:pStyle w:val="ConsPlusNormal"/>
        <w:jc w:val="center"/>
      </w:pPr>
      <w:proofErr w:type="gramStart"/>
      <w:r w:rsidRPr="00AC787F">
        <w:t xml:space="preserve">(в ред. Законов Калининградской области от 27.11.2015 </w:t>
      </w:r>
      <w:hyperlink r:id="rId4" w:history="1">
        <w:r w:rsidRPr="00AC787F">
          <w:t>N 481</w:t>
        </w:r>
      </w:hyperlink>
      <w:r w:rsidRPr="00AC787F">
        <w:t>,</w:t>
      </w:r>
      <w:proofErr w:type="gramEnd"/>
    </w:p>
    <w:p w:rsidR="00561AF7" w:rsidRPr="00AC787F" w:rsidRDefault="00561AF7">
      <w:pPr>
        <w:pStyle w:val="ConsPlusNormal"/>
        <w:jc w:val="center"/>
      </w:pPr>
      <w:r w:rsidRPr="00AC787F">
        <w:t xml:space="preserve">от 30.03.2017 </w:t>
      </w:r>
      <w:hyperlink r:id="rId5" w:history="1">
        <w:r w:rsidRPr="00AC787F">
          <w:t>N 58</w:t>
        </w:r>
      </w:hyperlink>
      <w:r w:rsidRPr="00AC787F">
        <w:t>)</w:t>
      </w:r>
    </w:p>
    <w:p w:rsidR="00561AF7" w:rsidRPr="00AC787F" w:rsidRDefault="00561AF7">
      <w:pPr>
        <w:pStyle w:val="ConsPlusNormal"/>
        <w:jc w:val="both"/>
      </w:pPr>
    </w:p>
    <w:p w:rsidR="00561AF7" w:rsidRPr="00AC787F" w:rsidRDefault="00561AF7">
      <w:pPr>
        <w:pStyle w:val="ConsPlusNormal"/>
        <w:ind w:firstLine="540"/>
        <w:jc w:val="both"/>
      </w:pPr>
      <w:r w:rsidRPr="00AC787F">
        <w:t xml:space="preserve">Настоящим Законом в соответствии со </w:t>
      </w:r>
      <w:hyperlink r:id="rId6" w:history="1">
        <w:r w:rsidRPr="00AC787F">
          <w:t>статьей 346.43 главы 26.5</w:t>
        </w:r>
      </w:hyperlink>
      <w:r w:rsidRPr="00AC787F">
        <w:t xml:space="preserve"> "Патентная система налогообложения" Налогового кодекса Российской Федерации на территории Калининградской области вводится патентная система налогообложения.</w:t>
      </w:r>
    </w:p>
    <w:p w:rsidR="00561AF7" w:rsidRPr="00AC787F" w:rsidRDefault="00561AF7">
      <w:pPr>
        <w:pStyle w:val="ConsPlusNormal"/>
        <w:ind w:firstLine="540"/>
        <w:jc w:val="both"/>
      </w:pPr>
    </w:p>
    <w:p w:rsidR="00561AF7" w:rsidRPr="00AC787F" w:rsidRDefault="00561AF7">
      <w:pPr>
        <w:pStyle w:val="ConsPlusNormal"/>
        <w:ind w:firstLine="540"/>
        <w:jc w:val="both"/>
        <w:outlineLvl w:val="0"/>
      </w:pPr>
      <w:r w:rsidRPr="00AC787F">
        <w:t>Статья 1</w:t>
      </w:r>
    </w:p>
    <w:p w:rsidR="00561AF7" w:rsidRPr="00AC787F" w:rsidRDefault="00561AF7">
      <w:pPr>
        <w:pStyle w:val="ConsPlusNormal"/>
        <w:ind w:firstLine="540"/>
        <w:jc w:val="both"/>
      </w:pPr>
    </w:p>
    <w:p w:rsidR="00561AF7" w:rsidRPr="00AC787F" w:rsidRDefault="00561AF7">
      <w:pPr>
        <w:pStyle w:val="ConsPlusNormal"/>
        <w:ind w:firstLine="540"/>
        <w:jc w:val="both"/>
      </w:pPr>
      <w:r w:rsidRPr="00AC787F">
        <w:t xml:space="preserve">Действие патента ограничивается территорией одного муниципального образования (городского округа, муниципального района), которое указано в патенте, за исключением патентов на осуществление видов предпринимательской деятельности, указанных в </w:t>
      </w:r>
      <w:hyperlink w:anchor="P196" w:history="1">
        <w:r w:rsidRPr="00AC787F">
          <w:t>пунктах 10</w:t>
        </w:r>
      </w:hyperlink>
      <w:r w:rsidRPr="00AC787F">
        <w:t xml:space="preserve">, </w:t>
      </w:r>
      <w:hyperlink w:anchor="P217" w:history="1">
        <w:r w:rsidRPr="00AC787F">
          <w:t>11</w:t>
        </w:r>
      </w:hyperlink>
      <w:r w:rsidRPr="00AC787F">
        <w:t xml:space="preserve">, </w:t>
      </w:r>
      <w:hyperlink w:anchor="P640" w:history="1">
        <w:r w:rsidRPr="00AC787F">
          <w:t>32</w:t>
        </w:r>
      </w:hyperlink>
      <w:r w:rsidRPr="00AC787F">
        <w:t xml:space="preserve">, </w:t>
      </w:r>
      <w:hyperlink w:anchor="P661" w:history="1">
        <w:r w:rsidRPr="00AC787F">
          <w:t>33</w:t>
        </w:r>
      </w:hyperlink>
      <w:r w:rsidRPr="00AC787F">
        <w:t xml:space="preserve"> и </w:t>
      </w:r>
      <w:hyperlink w:anchor="P898" w:history="1">
        <w:r w:rsidRPr="00AC787F">
          <w:t>пункте 46</w:t>
        </w:r>
      </w:hyperlink>
      <w:r w:rsidRPr="00AC787F">
        <w:t xml:space="preserve"> (в части, касающейся развозной и разносной розничной торговли) таблицы настоящей статьи.</w:t>
      </w:r>
    </w:p>
    <w:p w:rsidR="00561AF7" w:rsidRPr="00AC787F" w:rsidRDefault="00561AF7">
      <w:pPr>
        <w:pStyle w:val="ConsPlusNormal"/>
        <w:jc w:val="both"/>
      </w:pPr>
      <w:r w:rsidRPr="00AC787F">
        <w:t xml:space="preserve">(абзац введен </w:t>
      </w:r>
      <w:hyperlink r:id="rId7" w:history="1">
        <w:r w:rsidRPr="00AC787F">
          <w:t>Законом</w:t>
        </w:r>
      </w:hyperlink>
      <w:r w:rsidRPr="00AC787F">
        <w:t xml:space="preserve"> Калининградской области от 27.11.2015 N 481)</w:t>
      </w:r>
    </w:p>
    <w:p w:rsidR="00561AF7" w:rsidRPr="00AC787F" w:rsidRDefault="00561AF7">
      <w:pPr>
        <w:pStyle w:val="ConsPlusNormal"/>
        <w:ind w:firstLine="540"/>
        <w:jc w:val="both"/>
      </w:pPr>
      <w:r w:rsidRPr="00AC787F">
        <w:t xml:space="preserve">Установить следующие виды предпринимательской деятельности, по которым индивидуальные предприниматели могут применять патентную систему налогообложения, и </w:t>
      </w:r>
      <w:proofErr w:type="gramStart"/>
      <w:r w:rsidRPr="00AC787F">
        <w:t>соответствующие им размеры потенциально возможного к получению индивидуальным предпринимателем дохода на календарный год исходя из территории действия патентов, определенной в соответствии с абзацем первым настоящей статьи, с применением коэффициента 1,0 - для муниципальных образований "Городской округ "Город Калининград", "Балтийский муниципальный район", "</w:t>
      </w:r>
      <w:proofErr w:type="spellStart"/>
      <w:r w:rsidRPr="00AC787F">
        <w:t>Гурьевский</w:t>
      </w:r>
      <w:proofErr w:type="spellEnd"/>
      <w:r w:rsidRPr="00AC787F">
        <w:t xml:space="preserve"> городской округ", "</w:t>
      </w:r>
      <w:proofErr w:type="spellStart"/>
      <w:r w:rsidRPr="00AC787F">
        <w:t>Зеленоградский</w:t>
      </w:r>
      <w:proofErr w:type="spellEnd"/>
      <w:r w:rsidRPr="00AC787F">
        <w:t xml:space="preserve"> городской округ", "Пионерский городской округ", "</w:t>
      </w:r>
      <w:proofErr w:type="spellStart"/>
      <w:r w:rsidRPr="00AC787F">
        <w:t>Светловский</w:t>
      </w:r>
      <w:proofErr w:type="spellEnd"/>
      <w:r w:rsidRPr="00AC787F">
        <w:t xml:space="preserve"> городской округ", "</w:t>
      </w:r>
      <w:proofErr w:type="spellStart"/>
      <w:r w:rsidRPr="00AC787F">
        <w:t>Светлогорский</w:t>
      </w:r>
      <w:proofErr w:type="spellEnd"/>
      <w:r w:rsidRPr="00AC787F">
        <w:t xml:space="preserve"> район", "Янтарный городской округ", коэффициента 0,9 - для</w:t>
      </w:r>
      <w:proofErr w:type="gramEnd"/>
      <w:r w:rsidRPr="00AC787F">
        <w:t xml:space="preserve"> </w:t>
      </w:r>
      <w:proofErr w:type="gramStart"/>
      <w:r w:rsidRPr="00AC787F">
        <w:t>муниципальных образований "</w:t>
      </w:r>
      <w:proofErr w:type="spellStart"/>
      <w:r w:rsidRPr="00AC787F">
        <w:t>Багратионовский</w:t>
      </w:r>
      <w:proofErr w:type="spellEnd"/>
      <w:r w:rsidRPr="00AC787F">
        <w:t xml:space="preserve"> городской округ", "Гвардейский городской округ", "</w:t>
      </w:r>
      <w:proofErr w:type="spellStart"/>
      <w:r w:rsidRPr="00AC787F">
        <w:t>Гусевский</w:t>
      </w:r>
      <w:proofErr w:type="spellEnd"/>
      <w:r w:rsidRPr="00AC787F">
        <w:t xml:space="preserve"> городской округ", "Краснознаменский городской округ", "</w:t>
      </w:r>
      <w:proofErr w:type="spellStart"/>
      <w:r w:rsidRPr="00AC787F">
        <w:t>Ладушкинский</w:t>
      </w:r>
      <w:proofErr w:type="spellEnd"/>
      <w:r w:rsidRPr="00AC787F">
        <w:t xml:space="preserve"> городской округ", "</w:t>
      </w:r>
      <w:proofErr w:type="spellStart"/>
      <w:r w:rsidRPr="00AC787F">
        <w:t>Мамоновский</w:t>
      </w:r>
      <w:proofErr w:type="spellEnd"/>
      <w:r w:rsidRPr="00AC787F">
        <w:t xml:space="preserve"> городской округ", "Неманский городской округ", "</w:t>
      </w:r>
      <w:proofErr w:type="spellStart"/>
      <w:r w:rsidRPr="00AC787F">
        <w:t>Нестеровский</w:t>
      </w:r>
      <w:proofErr w:type="spellEnd"/>
      <w:r w:rsidRPr="00AC787F">
        <w:t xml:space="preserve"> район", "Озерский городской округ", "</w:t>
      </w:r>
      <w:proofErr w:type="spellStart"/>
      <w:r w:rsidRPr="00AC787F">
        <w:t>Полесский</w:t>
      </w:r>
      <w:proofErr w:type="spellEnd"/>
      <w:r w:rsidRPr="00AC787F">
        <w:t xml:space="preserve"> городской округ", "Правдинский городской округ", "</w:t>
      </w:r>
      <w:proofErr w:type="spellStart"/>
      <w:r w:rsidRPr="00AC787F">
        <w:t>Славский</w:t>
      </w:r>
      <w:proofErr w:type="spellEnd"/>
      <w:r w:rsidRPr="00AC787F">
        <w:t xml:space="preserve"> городской округ", "Советский городской округ", "Черняховский городской округ":</w:t>
      </w:r>
      <w:proofErr w:type="gramEnd"/>
    </w:p>
    <w:p w:rsidR="00561AF7" w:rsidRPr="00AC787F" w:rsidRDefault="00561AF7">
      <w:pPr>
        <w:pStyle w:val="ConsPlusNormal"/>
        <w:jc w:val="both"/>
      </w:pPr>
      <w:r w:rsidRPr="00AC787F">
        <w:t xml:space="preserve">(в ред. Законов Калининградской области от 27.11.2015 </w:t>
      </w:r>
      <w:hyperlink r:id="rId8" w:history="1">
        <w:r w:rsidRPr="00AC787F">
          <w:t>N 481</w:t>
        </w:r>
      </w:hyperlink>
      <w:r w:rsidRPr="00AC787F">
        <w:t xml:space="preserve">, от 30.03.2017 </w:t>
      </w:r>
      <w:hyperlink r:id="rId9" w:history="1">
        <w:r w:rsidRPr="00AC787F">
          <w:t>N 58</w:t>
        </w:r>
      </w:hyperlink>
      <w:r w:rsidRPr="00AC787F">
        <w:t>)</w:t>
      </w:r>
    </w:p>
    <w:p w:rsidR="00561AF7" w:rsidRPr="00AC787F" w:rsidRDefault="00561A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6665"/>
        <w:gridCol w:w="1836"/>
      </w:tblGrid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 xml:space="preserve">N </w:t>
            </w:r>
            <w:proofErr w:type="spellStart"/>
            <w:proofErr w:type="gramStart"/>
            <w:r w:rsidRPr="00AC787F">
              <w:t>п</w:t>
            </w:r>
            <w:proofErr w:type="spellEnd"/>
            <w:proofErr w:type="gramEnd"/>
            <w:r w:rsidRPr="00AC787F">
              <w:t>/</w:t>
            </w:r>
            <w:proofErr w:type="spellStart"/>
            <w:r w:rsidRPr="00AC787F">
              <w:t>п</w:t>
            </w:r>
            <w:proofErr w:type="spellEnd"/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Виды предпринимательской деятельности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Потенциально возможный годовой доход (рублей)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 xml:space="preserve">Ремонт и пошив швейных, меховых и кожаных изделий, головных уборов и изделий из текстильной галантереи, ремонт, пошив и </w:t>
            </w:r>
            <w:r w:rsidRPr="00AC787F">
              <w:lastRenderedPageBreak/>
              <w:t>вязание трикотажных изделий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Ремонт, чистка, окраска и пошив обуви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Парикмахерские и косметические услуги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Химическая чистка, крашение и услуги прачечных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7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Ремонт мебели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8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фотоателье, фот</w:t>
            </w:r>
            <w:proofErr w:type="gramStart"/>
            <w:r w:rsidRPr="00AC787F">
              <w:t>о-</w:t>
            </w:r>
            <w:proofErr w:type="gramEnd"/>
            <w:r w:rsidRPr="00AC787F">
              <w:t xml:space="preserve"> и </w:t>
            </w:r>
            <w:proofErr w:type="spellStart"/>
            <w:r w:rsidRPr="00AC787F">
              <w:t>кинолабораторий</w:t>
            </w:r>
            <w:proofErr w:type="spellEnd"/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9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 xml:space="preserve">Техническое обслуживание и ремонт автотранспортных и </w:t>
            </w:r>
            <w:proofErr w:type="spellStart"/>
            <w:r w:rsidRPr="00AC787F">
              <w:t>мототранспортных</w:t>
            </w:r>
            <w:proofErr w:type="spellEnd"/>
            <w:r w:rsidRPr="00AC787F">
              <w:t xml:space="preserve"> средств, машин и оборудования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1740000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Хранение автотранспортных средств на платных стоянках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bookmarkStart w:id="0" w:name="P196"/>
            <w:bookmarkEnd w:id="0"/>
            <w:r w:rsidRPr="00AC787F">
              <w:t>10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автотранспортных средств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270000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2-3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670000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4-6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1350000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7-10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2160000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bookmarkStart w:id="1" w:name="P217"/>
            <w:bookmarkEnd w:id="1"/>
            <w:r w:rsidRPr="00AC787F">
              <w:t>11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автотранспортных средств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270000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2-3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670000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4-6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1350000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7-10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2160000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Ремонт жилья и других построек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обучению населения на курсах и по репетиторству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16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присмотру и уходу за детьми и больными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17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18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Ветеринарные услуги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19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Сдача в аренду (наем) жилых помещений, дач, принадлежащих индивидуальному предпринимателю на праве собственности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площадь сдаваемого в аренду (наем) имущества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до 150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150 до 300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300 до 500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920000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500 до 800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800 до 1300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3250000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1300 до 1900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5000000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1900 кв. м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площадь сдаваемого в аренду (наем) имущества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до 50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130000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50 до 250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250 до 500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500 до 800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1600000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800 до 1500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2900000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1500 до 2500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5000000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2500 до 4000 кв. м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4000 кв. м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20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Изготовление изделий народных художественных промыслов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proofErr w:type="gramStart"/>
            <w:r w:rsidRPr="00AC787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AC787F">
              <w:t>маслосемян</w:t>
            </w:r>
            <w:proofErr w:type="spellEnd"/>
            <w:r w:rsidRPr="00AC787F">
              <w:t xml:space="preserve">, изготовлению и копчению колбас, переработке картофеля, переработке давальческой мытой шерсти на трикотажную пряжу, </w:t>
            </w:r>
            <w:r w:rsidRPr="00AC787F">
              <w:lastRenderedPageBreak/>
              <w:t>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AC787F">
              <w:t xml:space="preserve"> </w:t>
            </w:r>
            <w:proofErr w:type="gramStart"/>
            <w:r w:rsidRPr="00AC787F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огородов,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AC787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Производство и реставрация ковров и ковровых изделий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Ремонт ювелирных изделий, бижутерии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Чеканка и гравировка ювелирных изделий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26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уборке жилых помещений и ведению домашнего хозяйства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27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700000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28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Проведение занятий по физической культуре и спорту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29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 xml:space="preserve">Услуги носильщиков на железнодорожных вокзалах, автовокзалах, </w:t>
            </w:r>
            <w:r w:rsidRPr="00AC787F">
              <w:lastRenderedPageBreak/>
              <w:t>аэровокзалах, в аэропортах, морских, речных портах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30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платных туалетов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поваров по изготовлению блюд на дому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bookmarkStart w:id="2" w:name="P640"/>
            <w:bookmarkEnd w:id="2"/>
            <w:r w:rsidRPr="00AC787F">
              <w:t>32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Оказание услуг по перевозке пассажиров водным транспортом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транспортных средств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2-3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550000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4-6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1110000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7-10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1780000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bookmarkStart w:id="3" w:name="P661"/>
            <w:bookmarkEnd w:id="3"/>
            <w:r w:rsidRPr="00AC787F">
              <w:t>33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Оказание услуг по перевозке грузов водным транспортом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транспортных средств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2-3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550000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4-6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1110000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7-10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1780000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10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proofErr w:type="gramStart"/>
            <w:r w:rsidRPr="00AC787F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36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зеленому хозяйству и декоративному цветоводству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37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Ведение охотничьего хозяйства и осуществление охоты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700000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38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 xml:space="preserve">Занятие медицинской деятельностью или фармацевтической деятельностью лицом, имеющим лицензию на указанные виды </w:t>
            </w:r>
            <w:r w:rsidRPr="00AC787F">
              <w:lastRenderedPageBreak/>
              <w:t>деятельности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1290000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39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Осуществление частной детективной деятельности лицом, имеющим лицензию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700000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40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по прокату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Экскурсионные услуги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Обрядовые услуги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1740000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Ритуальные услуги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1290000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уличных патрулей, охранников, сторожей и вахтеров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обособленных объектов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3-7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7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bookmarkStart w:id="4" w:name="P898"/>
            <w:bookmarkEnd w:id="4"/>
            <w:r w:rsidRPr="00AC787F">
              <w:t>46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обособленных объектов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3-7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7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47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количество обособленных объектов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1 единица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2 единицы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2120000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3-7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4240000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свыше 7 единиц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48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proofErr w:type="gramStart"/>
            <w:r w:rsidRPr="00AC787F">
              <w:t xml:space="preserve">Прочие услуги непроизводственного характера (оказание услуг населению по заполнению бланков, написанию заявлений, снятию копий; услуги секретаря-референта, в т.ч. со знанием иностранного языка; организация занятий в группах общения, </w:t>
            </w:r>
            <w:proofErr w:type="spellStart"/>
            <w:r w:rsidRPr="00AC787F">
              <w:t>психогимнастики</w:t>
            </w:r>
            <w:proofErr w:type="spellEnd"/>
            <w:r w:rsidRPr="00AC787F">
              <w:t>, аутогенной тренировки; услуги по оборудованию квартир (навеска карнизов, картин, вешалок, зеркал и др. предметов); монтаж осветительной арматуры; пробивка отверстий и установка креплений для подвешивания на стенах предметов домашнего обихода;</w:t>
            </w:r>
            <w:proofErr w:type="gramEnd"/>
            <w:r w:rsidRPr="00AC787F">
              <w:t xml:space="preserve"> </w:t>
            </w:r>
            <w:proofErr w:type="gramStart"/>
            <w:r w:rsidRPr="00AC787F">
              <w:t>приобретение, доставка и вручение сувениров, подарков с поздравлением Деда Мороза и Снегурочки и другими сказочными персонажами на дому; измерение силы рук, роста, взвешивание на медицинских весах; стирка и глаженье белья на дому у заказчика; выполнение переводов с одного языка на другой, включая письменные переводы, выполненные путем доработки автоматического перевода; услуги копировально-множительные;</w:t>
            </w:r>
            <w:proofErr w:type="gramEnd"/>
            <w:r w:rsidRPr="00AC787F">
              <w:t xml:space="preserve"> чистка сливных и канализационных решеток, труб и желобов; санитарно-гигиеническая обработка помещений и сантехнического оборудования)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49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бань, душевых, саун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700000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50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440000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8800000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50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0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Оказание услуг по забою, транспортировке, перегонке, выпасу скота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51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1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Производство кожи и изделий из кожи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52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2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 xml:space="preserve">Сбор и заготовка пищевых лесных ресурсов, </w:t>
            </w:r>
            <w:proofErr w:type="spellStart"/>
            <w:r w:rsidRPr="00AC787F">
              <w:t>недревесных</w:t>
            </w:r>
            <w:proofErr w:type="spellEnd"/>
            <w:r w:rsidRPr="00AC787F">
              <w:t xml:space="preserve"> лесных ресурсов и лекарственных растений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53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3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Сушка, переработка и консервирование фруктов и овощей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54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4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Производство молочной продукции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55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5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56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56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6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57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Производство хлебобулочных и мучных кондитерских изделий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57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7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58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Товарное и спортивное рыболовство и рыбоводство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58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8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59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Лесоводство и прочая лесохозяйственная деятельность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59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19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60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Деятельность по письменному и устному переводу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60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20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61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Деятельность по уходу за престарелыми и инвалидами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150000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320000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61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21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62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Сбор, обработка и утилизация отходов, а также обработка вторичного сырья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345000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620000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62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22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63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Резка, обработка и отделка камня для памятников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860000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1290000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63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23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64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64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24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  <w:r w:rsidRPr="00AC787F">
              <w:t>65</w:t>
            </w: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Ремонт компьютеров и коммуникационного оборудования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без привлечения наемных работников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225000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с привлечением наемных работников средней численностью: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1 до 3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380000</w:t>
            </w:r>
          </w:p>
        </w:tc>
      </w:tr>
      <w:tr w:rsidR="00561AF7" w:rsidRPr="00AC787F">
        <w:tc>
          <w:tcPr>
            <w:tcW w:w="564" w:type="dxa"/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</w:tcPr>
          <w:p w:rsidR="00561AF7" w:rsidRPr="00AC787F" w:rsidRDefault="00561AF7">
            <w:pPr>
              <w:pStyle w:val="ConsPlusNormal"/>
            </w:pPr>
            <w:r w:rsidRPr="00AC787F">
              <w:t>от 4 до 8 человек включительно</w:t>
            </w:r>
          </w:p>
        </w:tc>
        <w:tc>
          <w:tcPr>
            <w:tcW w:w="1836" w:type="dxa"/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640000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564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center"/>
            </w:pPr>
          </w:p>
        </w:tc>
        <w:tc>
          <w:tcPr>
            <w:tcW w:w="6665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</w:pPr>
            <w:r w:rsidRPr="00AC787F">
              <w:t>от 9 до 15 человек включительно</w:t>
            </w:r>
          </w:p>
        </w:tc>
        <w:tc>
          <w:tcPr>
            <w:tcW w:w="1836" w:type="dxa"/>
            <w:tcBorders>
              <w:bottom w:val="nil"/>
            </w:tcBorders>
          </w:tcPr>
          <w:p w:rsidR="00561AF7" w:rsidRPr="00AC787F" w:rsidRDefault="00561AF7">
            <w:pPr>
              <w:pStyle w:val="ConsPlusNormal"/>
              <w:jc w:val="right"/>
            </w:pPr>
            <w:r w:rsidRPr="00AC787F">
              <w:t>1000000</w:t>
            </w:r>
          </w:p>
        </w:tc>
      </w:tr>
      <w:tr w:rsidR="00561AF7" w:rsidRPr="00AC787F">
        <w:tblPrEx>
          <w:tblBorders>
            <w:insideH w:val="nil"/>
          </w:tblBorders>
        </w:tblPrEx>
        <w:tc>
          <w:tcPr>
            <w:tcW w:w="9065" w:type="dxa"/>
            <w:gridSpan w:val="3"/>
            <w:tcBorders>
              <w:top w:val="nil"/>
            </w:tcBorders>
          </w:tcPr>
          <w:p w:rsidR="00561AF7" w:rsidRPr="00AC787F" w:rsidRDefault="00561AF7">
            <w:pPr>
              <w:pStyle w:val="ConsPlusNormal"/>
              <w:jc w:val="both"/>
            </w:pPr>
            <w:r w:rsidRPr="00AC787F">
              <w:t xml:space="preserve">(п. 65 </w:t>
            </w:r>
            <w:proofErr w:type="gramStart"/>
            <w:r w:rsidRPr="00AC787F">
              <w:t>введен</w:t>
            </w:r>
            <w:proofErr w:type="gramEnd"/>
            <w:r w:rsidRPr="00AC787F">
              <w:t xml:space="preserve"> </w:t>
            </w:r>
            <w:hyperlink r:id="rId25" w:history="1">
              <w:r w:rsidRPr="00AC787F">
                <w:t>Законом</w:t>
              </w:r>
            </w:hyperlink>
            <w:r w:rsidRPr="00AC787F">
              <w:t xml:space="preserve"> Калининградской области от 27.11.2015 N 481)</w:t>
            </w:r>
          </w:p>
        </w:tc>
      </w:tr>
    </w:tbl>
    <w:p w:rsidR="00561AF7" w:rsidRPr="00AC787F" w:rsidRDefault="00561AF7">
      <w:pPr>
        <w:pStyle w:val="ConsPlusNormal"/>
        <w:ind w:firstLine="540"/>
        <w:jc w:val="both"/>
      </w:pPr>
    </w:p>
    <w:p w:rsidR="00561AF7" w:rsidRPr="00AC787F" w:rsidRDefault="00561AF7">
      <w:pPr>
        <w:pStyle w:val="ConsPlusNormal"/>
        <w:ind w:firstLine="540"/>
        <w:jc w:val="both"/>
        <w:outlineLvl w:val="0"/>
      </w:pPr>
      <w:r w:rsidRPr="00AC787F">
        <w:t>Статья 2</w:t>
      </w:r>
    </w:p>
    <w:p w:rsidR="00561AF7" w:rsidRPr="00AC787F" w:rsidRDefault="00561AF7">
      <w:pPr>
        <w:pStyle w:val="ConsPlusNormal"/>
        <w:ind w:firstLine="540"/>
        <w:jc w:val="both"/>
      </w:pPr>
    </w:p>
    <w:p w:rsidR="00561AF7" w:rsidRPr="00AC787F" w:rsidRDefault="00561AF7">
      <w:pPr>
        <w:pStyle w:val="ConsPlusNormal"/>
        <w:ind w:firstLine="540"/>
        <w:jc w:val="both"/>
      </w:pPr>
      <w:r w:rsidRPr="00AC787F"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561AF7" w:rsidRPr="00AC787F" w:rsidRDefault="00561AF7">
      <w:pPr>
        <w:pStyle w:val="ConsPlusNormal"/>
        <w:ind w:firstLine="540"/>
        <w:jc w:val="both"/>
      </w:pPr>
    </w:p>
    <w:p w:rsidR="00561AF7" w:rsidRPr="00AC787F" w:rsidRDefault="00561AF7">
      <w:pPr>
        <w:pStyle w:val="ConsPlusNormal"/>
        <w:jc w:val="right"/>
      </w:pPr>
      <w:r w:rsidRPr="00AC787F">
        <w:t>Губернатор</w:t>
      </w:r>
    </w:p>
    <w:p w:rsidR="00561AF7" w:rsidRPr="00AC787F" w:rsidRDefault="00561AF7">
      <w:pPr>
        <w:pStyle w:val="ConsPlusNormal"/>
        <w:jc w:val="right"/>
      </w:pPr>
      <w:r w:rsidRPr="00AC787F">
        <w:t>Калининградской области</w:t>
      </w:r>
    </w:p>
    <w:p w:rsidR="00561AF7" w:rsidRPr="00AC787F" w:rsidRDefault="00561AF7">
      <w:pPr>
        <w:pStyle w:val="ConsPlusNormal"/>
        <w:jc w:val="right"/>
      </w:pPr>
      <w:r w:rsidRPr="00AC787F">
        <w:t xml:space="preserve">Н.Н. </w:t>
      </w:r>
      <w:proofErr w:type="spellStart"/>
      <w:r w:rsidRPr="00AC787F">
        <w:t>Цуканов</w:t>
      </w:r>
      <w:proofErr w:type="spellEnd"/>
    </w:p>
    <w:p w:rsidR="00561AF7" w:rsidRPr="00AC787F" w:rsidRDefault="00561AF7">
      <w:pPr>
        <w:pStyle w:val="ConsPlusNormal"/>
      </w:pPr>
      <w:r w:rsidRPr="00AC787F">
        <w:t>г. Калининград</w:t>
      </w:r>
    </w:p>
    <w:p w:rsidR="00561AF7" w:rsidRPr="00AC787F" w:rsidRDefault="00561AF7">
      <w:pPr>
        <w:pStyle w:val="ConsPlusNormal"/>
      </w:pPr>
      <w:r w:rsidRPr="00AC787F">
        <w:t>22 октября 2012 г.</w:t>
      </w:r>
    </w:p>
    <w:p w:rsidR="00561AF7" w:rsidRPr="00AC787F" w:rsidRDefault="00561AF7">
      <w:pPr>
        <w:pStyle w:val="ConsPlusNormal"/>
      </w:pPr>
      <w:r w:rsidRPr="00AC787F">
        <w:lastRenderedPageBreak/>
        <w:t>N 154</w:t>
      </w:r>
    </w:p>
    <w:p w:rsidR="00561AF7" w:rsidRPr="00AC787F" w:rsidRDefault="00561AF7">
      <w:pPr>
        <w:pStyle w:val="ConsPlusNormal"/>
      </w:pPr>
    </w:p>
    <w:p w:rsidR="00561AF7" w:rsidRPr="00AC787F" w:rsidRDefault="00561AF7">
      <w:pPr>
        <w:pStyle w:val="ConsPlusNormal"/>
      </w:pPr>
    </w:p>
    <w:p w:rsidR="00561AF7" w:rsidRPr="00AC787F" w:rsidRDefault="00561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2F7" w:rsidRPr="00AC787F" w:rsidRDefault="00F202F7">
      <w:bookmarkStart w:id="5" w:name="_GoBack"/>
      <w:bookmarkEnd w:id="5"/>
    </w:p>
    <w:sectPr w:rsidR="00F202F7" w:rsidRPr="00AC787F" w:rsidSect="002A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AF7"/>
    <w:rsid w:val="000B453C"/>
    <w:rsid w:val="00561AF7"/>
    <w:rsid w:val="009138EA"/>
    <w:rsid w:val="00AC787F"/>
    <w:rsid w:val="00C8568D"/>
    <w:rsid w:val="00F2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1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1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1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1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1A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1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1A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1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1A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1A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4B694560C284CE828BB258DE1F64BB48B15F97AC75EF3D6A3F5FC6A6960AB32A194EDCBD390669107BF7731O" TargetMode="External"/><Relationship Id="rId13" Type="http://schemas.openxmlformats.org/officeDocument/2006/relationships/hyperlink" Target="consultantplus://offline/ref=A2B4B694560C284CE828BB258DE1F64BB48B15F97AC75EF3D6A3F5FC6A6960AB32A194EDCBD390669107BB7730O" TargetMode="External"/><Relationship Id="rId18" Type="http://schemas.openxmlformats.org/officeDocument/2006/relationships/hyperlink" Target="consultantplus://offline/ref=A2B4B694560C284CE828BB258DE1F64BB48B15F97AC75EF3D6A3F5FC6A6960AB32A194EDCBD390669106BE7735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2B4B694560C284CE828BB258DE1F64BB48B15F97AC75EF3D6A3F5FC6A6960AB32A194EDCBD390669106BD7738O" TargetMode="External"/><Relationship Id="rId7" Type="http://schemas.openxmlformats.org/officeDocument/2006/relationships/hyperlink" Target="consultantplus://offline/ref=A2B4B694560C284CE828BB258DE1F64BB48B15F97AC75EF3D6A3F5FC6A6960AB32A194EDCBD390669107BE7739O" TargetMode="External"/><Relationship Id="rId12" Type="http://schemas.openxmlformats.org/officeDocument/2006/relationships/hyperlink" Target="consultantplus://offline/ref=A2B4B694560C284CE828BB258DE1F64BB48B15F97AC75EF3D6A3F5FC6A6960AB32A194EDCBD390669107BD7739O" TargetMode="External"/><Relationship Id="rId17" Type="http://schemas.openxmlformats.org/officeDocument/2006/relationships/hyperlink" Target="consultantplus://offline/ref=A2B4B694560C284CE828BB258DE1F64BB48B15F97AC75EF3D6A3F5FC6A6960AB32A194EDCBD390669107B77734O" TargetMode="External"/><Relationship Id="rId25" Type="http://schemas.openxmlformats.org/officeDocument/2006/relationships/hyperlink" Target="consultantplus://offline/ref=A2B4B694560C284CE828BB258DE1F64BB48B15F97AC75EF3D6A3F5FC6A6960AB32A194EDCBD390669106B6773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B4B694560C284CE828BB258DE1F64BB48B15F97AC75EF3D6A3F5FC6A6960AB32A194EDCBD390669107B67733O" TargetMode="External"/><Relationship Id="rId20" Type="http://schemas.openxmlformats.org/officeDocument/2006/relationships/hyperlink" Target="consultantplus://offline/ref=A2B4B694560C284CE828BB258DE1F64BB48B15F97AC75EF3D6A3F5FC6A6960AB32A194EDCBD390669106BC773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4B694560C284CE828A5289B8DA842B2814FFD78C155A788FCAEA13D606AFC75EECDA989D77936O" TargetMode="External"/><Relationship Id="rId11" Type="http://schemas.openxmlformats.org/officeDocument/2006/relationships/hyperlink" Target="consultantplus://offline/ref=A2B4B694560C284CE828BB258DE1F64BB48B15F97AC75EF3D6A3F5FC6A6960AB32A194EDCBD390669107BC7738O" TargetMode="External"/><Relationship Id="rId24" Type="http://schemas.openxmlformats.org/officeDocument/2006/relationships/hyperlink" Target="consultantplus://offline/ref=A2B4B694560C284CE828BB258DE1F64BB48B15F97AC75EF3D6A3F5FC6A6960AB32A194EDCBD390669106B97731O" TargetMode="External"/><Relationship Id="rId5" Type="http://schemas.openxmlformats.org/officeDocument/2006/relationships/hyperlink" Target="consultantplus://offline/ref=A2B4B694560C284CE828BB258DE1F64BB48B15F97BC457F0D2A3F5FC6A6960AB32A194EDCBD390669107BF7730O" TargetMode="External"/><Relationship Id="rId15" Type="http://schemas.openxmlformats.org/officeDocument/2006/relationships/hyperlink" Target="consultantplus://offline/ref=A2B4B694560C284CE828BB258DE1F64BB48B15F97AC75EF3D6A3F5FC6A6960AB32A194EDCBD390669107B97732O" TargetMode="External"/><Relationship Id="rId23" Type="http://schemas.openxmlformats.org/officeDocument/2006/relationships/hyperlink" Target="consultantplus://offline/ref=A2B4B694560C284CE828BB258DE1F64BB48B15F97AC75EF3D6A3F5FC6A6960AB32A194EDCBD390669106B87730O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A2B4B694560C284CE828BB258DE1F64BB48B15F97AC75EF3D6A3F5FC6A6960AB32A194EDCBD390669107BF7737O" TargetMode="External"/><Relationship Id="rId19" Type="http://schemas.openxmlformats.org/officeDocument/2006/relationships/hyperlink" Target="consultantplus://offline/ref=A2B4B694560C284CE828BB258DE1F64BB48B15F97AC75EF3D6A3F5FC6A6960AB32A194EDCBD390669106BF7736O" TargetMode="External"/><Relationship Id="rId4" Type="http://schemas.openxmlformats.org/officeDocument/2006/relationships/hyperlink" Target="consultantplus://offline/ref=A2B4B694560C284CE828BB258DE1F64BB48B15F97AC75EF3D6A3F5FC6A6960AB32A194EDCBD390669107BE7738O" TargetMode="External"/><Relationship Id="rId9" Type="http://schemas.openxmlformats.org/officeDocument/2006/relationships/hyperlink" Target="consultantplus://offline/ref=A2B4B694560C284CE828BB258DE1F64BB48B15F97BC457F0D2A3F5FC6A6960AB32A194EDCBD390669107BF7730O" TargetMode="External"/><Relationship Id="rId14" Type="http://schemas.openxmlformats.org/officeDocument/2006/relationships/hyperlink" Target="consultantplus://offline/ref=A2B4B694560C284CE828BB258DE1F64BB48B15F97AC75EF3D6A3F5FC6A6960AB32A194EDCBD390669107B87731O" TargetMode="External"/><Relationship Id="rId22" Type="http://schemas.openxmlformats.org/officeDocument/2006/relationships/hyperlink" Target="consultantplus://offline/ref=A2B4B694560C284CE828BB258DE1F64BB48B15F97AC75EF3D6A3F5FC6A6960AB32A194EDCBD390669106BA7739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3900-01-312</cp:lastModifiedBy>
  <cp:revision>2</cp:revision>
  <dcterms:created xsi:type="dcterms:W3CDTF">2017-07-13T10:55:00Z</dcterms:created>
  <dcterms:modified xsi:type="dcterms:W3CDTF">2017-07-13T10:55:00Z</dcterms:modified>
</cp:coreProperties>
</file>