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 w:rsidR="00CD3C39">
        <w:trPr>
          <w:trHeight w:hRule="exact" w:val="2035"/>
        </w:trPr>
        <w:tc>
          <w:tcPr>
            <w:tcW w:w="10159" w:type="dxa"/>
            <w:gridSpan w:val="12"/>
          </w:tcPr>
          <w:p w:rsidR="00CD3C39" w:rsidRDefault="00CD3C39"/>
        </w:tc>
      </w:tr>
      <w:tr w:rsidR="00CD3C39">
        <w:trPr>
          <w:trHeight w:hRule="exact" w:val="444"/>
        </w:trPr>
        <w:tc>
          <w:tcPr>
            <w:tcW w:w="903" w:type="dxa"/>
          </w:tcPr>
          <w:p w:rsidR="00CD3C39" w:rsidRDefault="00CD3C39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</w:tr>
      <w:tr w:rsidR="00CD3C39">
        <w:trPr>
          <w:trHeight w:hRule="exact" w:val="673"/>
        </w:trPr>
        <w:tc>
          <w:tcPr>
            <w:tcW w:w="903" w:type="dxa"/>
          </w:tcPr>
          <w:p w:rsidR="00CD3C39" w:rsidRDefault="00CD3C39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CD3C39" w:rsidRDefault="00CD3C39"/>
        </w:tc>
      </w:tr>
      <w:tr w:rsidR="00CD3C39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CD3C39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CD3C39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01.05.2024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CD3C39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CD3C39">
        <w:trPr>
          <w:trHeight w:hRule="exact" w:val="444"/>
        </w:trPr>
        <w:tc>
          <w:tcPr>
            <w:tcW w:w="903" w:type="dxa"/>
          </w:tcPr>
          <w:p w:rsidR="00CD3C39" w:rsidRDefault="00CD3C39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CD3C39" w:rsidRDefault="00CD3C39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CD3C39" w:rsidRDefault="00CD3C39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D3C39" w:rsidRDefault="00CD3C39"/>
        </w:tc>
      </w:tr>
      <w:tr w:rsidR="00CD3C39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D3C39" w:rsidRDefault="00CD3C39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</w:tr>
      <w:tr w:rsidR="00CD3C39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D3C39" w:rsidRDefault="00E90531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01.02.2024 – 01.03.2024;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01.05.2024 – 01.06.2024;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01.08.2024 – 30.08.2024;                                          по состоянию на 01.11.2024 – 29.11.202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D3C39" w:rsidRDefault="00CD3C39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CD3C39" w:rsidRDefault="00CD3C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Утверждена приказом  ФНС России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27.10.2023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ЕД-7-1/783@</w:t>
            </w:r>
          </w:p>
          <w:p w:rsidR="00CD3C39" w:rsidRDefault="00CD3C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</w:tr>
      <w:tr w:rsidR="00CD3C39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D3C39" w:rsidRDefault="00CD3C39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D3C39" w:rsidRDefault="00CD3C39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D3C39" w:rsidRDefault="00CD3C39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D3C39" w:rsidRDefault="00CD3C39"/>
        </w:tc>
      </w:tr>
      <w:tr w:rsidR="00CD3C39">
        <w:trPr>
          <w:trHeight w:hRule="exact" w:val="115"/>
        </w:trPr>
        <w:tc>
          <w:tcPr>
            <w:tcW w:w="903" w:type="dxa"/>
          </w:tcPr>
          <w:p w:rsidR="00CD3C39" w:rsidRDefault="00CD3C39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CD3C39" w:rsidRDefault="00CD3C39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D3C39" w:rsidRDefault="00CD3C39"/>
        </w:tc>
      </w:tr>
      <w:tr w:rsidR="00CD3C39">
        <w:trPr>
          <w:trHeight w:hRule="exact" w:val="229"/>
        </w:trPr>
        <w:tc>
          <w:tcPr>
            <w:tcW w:w="903" w:type="dxa"/>
          </w:tcPr>
          <w:p w:rsidR="00CD3C39" w:rsidRDefault="00CD3C39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CD3C39" w:rsidRDefault="00CD3C39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D3C39" w:rsidRDefault="00CD3C39"/>
        </w:tc>
      </w:tr>
      <w:tr w:rsidR="00CD3C39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CD3C39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</w:tr>
      <w:tr w:rsidR="00CD3C39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CD3C39" w:rsidRDefault="00CD3C39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D3C39" w:rsidRDefault="00CD3C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</w:tbl>
    <w:p w:rsidR="00CD3C39" w:rsidRDefault="00CD3C39">
      <w:pPr>
        <w:sectPr w:rsidR="00CD3C39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CD3C39" w:rsidTr="00AB29B0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CD3C39" w:rsidTr="00AB29B0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CD3C39" w:rsidRDefault="00CD3C39"/>
        </w:tc>
      </w:tr>
      <w:tr w:rsidR="00CD3C39" w:rsidTr="00AB29B0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кв.2023 г.– I-III кв. 2024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CD3C39" w:rsidTr="00AB29B0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D3C39" w:rsidTr="00AB29B0">
        <w:trPr>
          <w:trHeight w:hRule="exact" w:val="4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187 268 549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186 522 134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 w:rsidTr="00AB29B0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186 850 486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186 106 285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6 252</w:t>
            </w:r>
          </w:p>
        </w:tc>
      </w:tr>
      <w:tr w:rsidR="00CD3C39" w:rsidTr="00AB29B0">
        <w:trPr>
          <w:trHeight w:hRule="exact" w:val="4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23 551 023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23 550 293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235 502 928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1 004</w:t>
            </w:r>
          </w:p>
        </w:tc>
      </w:tr>
      <w:tr w:rsidR="00CD3C39" w:rsidTr="00AB29B0">
        <w:trPr>
          <w:trHeight w:hRule="exact" w:val="4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4 055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4 055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44 610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D3C39" w:rsidTr="00AB29B0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111 295 674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110 956 302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554 778 640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5 883</w:t>
            </w:r>
          </w:p>
        </w:tc>
      </w:tr>
      <w:tr w:rsidR="00CD3C39" w:rsidTr="00AB29B0">
        <w:trPr>
          <w:trHeight w:hRule="exact" w:val="4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 w:rsidTr="00AB29B0">
        <w:trPr>
          <w:trHeight w:hRule="exact" w:val="4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630 150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631 410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3 788 463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</w:t>
            </w:r>
          </w:p>
        </w:tc>
      </w:tr>
      <w:tr w:rsidR="00CD3C39" w:rsidTr="00AB29B0">
        <w:trPr>
          <w:trHeight w:hRule="exact" w:val="4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D3C39" w:rsidTr="00AB29B0">
        <w:trPr>
          <w:trHeight w:hRule="exact" w:val="4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157 949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160 535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802 676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</w:tr>
      <w:tr w:rsidR="00CD3C39" w:rsidTr="00AB29B0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45 031 543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44 713 090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279 395 294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3 011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5 477 105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5 392 249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1 252</w:t>
            </w:r>
          </w:p>
        </w:tc>
      </w:tr>
      <w:tr w:rsidR="00CD3C39" w:rsidTr="00AB29B0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D3C39" w:rsidTr="00AB29B0">
        <w:trPr>
          <w:trHeight w:hRule="exact" w:val="445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6 030 321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5 941 063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1 943</w:t>
            </w:r>
          </w:p>
        </w:tc>
      </w:tr>
      <w:tr w:rsidR="00CD3C39" w:rsidTr="00AB29B0">
        <w:trPr>
          <w:trHeight w:hRule="exact" w:val="4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410 703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407 200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</w:t>
            </w:r>
          </w:p>
        </w:tc>
      </w:tr>
      <w:tr w:rsidR="00CD3C39" w:rsidTr="00AB29B0">
        <w:trPr>
          <w:trHeight w:hRule="exact" w:val="4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D3C39" w:rsidTr="00AB29B0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CD3C39" w:rsidTr="00AB29B0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по операциям по реализации товаров (работ, услуг), обоснов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8 649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CD3C39" w:rsidTr="00AB29B0">
        <w:trPr>
          <w:trHeight w:hRule="exact" w:val="78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4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D3C39" w:rsidTr="00AB29B0">
        <w:trPr>
          <w:trHeight w:hRule="exact" w:val="4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168 852 449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168 707 751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 w:rsidTr="00AB29B0">
        <w:trPr>
          <w:trHeight w:hRule="exact" w:val="77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164 578 587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164 444 299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5 943</w:t>
            </w:r>
          </w:p>
        </w:tc>
      </w:tr>
      <w:tr w:rsidR="00CD3C39" w:rsidTr="00AB29B0">
        <w:trPr>
          <w:trHeight w:hRule="exact" w:val="4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D3C39" w:rsidTr="00AB29B0">
        <w:trPr>
          <w:trHeight w:hRule="exact" w:val="77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108 988 068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109 302 010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5 829</w:t>
            </w:r>
          </w:p>
        </w:tc>
      </w:tr>
      <w:tr w:rsidR="00CD3C39" w:rsidTr="00AB29B0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6 670 099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6 647 001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1 041 778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1 042 676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</w:t>
            </w:r>
          </w:p>
        </w:tc>
      </w:tr>
      <w:tr w:rsidR="00CD3C39" w:rsidTr="00AB29B0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6 026 487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5 968 182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1 121</w:t>
            </w:r>
          </w:p>
        </w:tc>
      </w:tr>
      <w:tr w:rsidR="00CD3C39" w:rsidTr="00AB29B0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159 092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159 124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</w:tr>
      <w:tr w:rsidR="00CD3C39" w:rsidTr="00AB29B0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41 229 240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40 912 836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2 873</w:t>
            </w:r>
          </w:p>
        </w:tc>
      </w:tr>
      <w:tr w:rsidR="00CD3C39" w:rsidTr="00AB29B0">
        <w:trPr>
          <w:trHeight w:hRule="exact" w:val="57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401 304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349 952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</w:t>
            </w:r>
          </w:p>
        </w:tc>
      </w:tr>
      <w:tr w:rsidR="00CD3C39" w:rsidTr="00AB29B0">
        <w:trPr>
          <w:trHeight w:hRule="exact" w:val="7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D3C39" w:rsidTr="00AB29B0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4 273 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4 263 070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</w:t>
            </w:r>
          </w:p>
        </w:tc>
      </w:tr>
      <w:tr w:rsidR="00CD3C39" w:rsidTr="00AB29B0">
        <w:trPr>
          <w:trHeight w:hRule="exact" w:val="4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39 185 878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38 827 097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6 051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48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20 748 263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20 980 340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</w:t>
            </w:r>
          </w:p>
        </w:tc>
      </w:tr>
      <w:tr w:rsidR="00CD3C39" w:rsidTr="00AB29B0">
        <w:trPr>
          <w:trHeight w:hRule="exact" w:val="331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D3C39" w:rsidTr="00AB29B0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498 511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498 511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108 747 741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 w:rsidTr="00AB29B0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4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1 129 371 284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1 126 499 010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1 183 060 560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43 537</w:t>
            </w:r>
          </w:p>
        </w:tc>
      </w:tr>
      <w:tr w:rsidR="00CD3C39" w:rsidTr="00AB29B0">
        <w:trPr>
          <w:trHeight w:hRule="exact" w:val="343"/>
        </w:trPr>
        <w:tc>
          <w:tcPr>
            <w:tcW w:w="788" w:type="dxa"/>
          </w:tcPr>
          <w:p w:rsidR="00CD3C39" w:rsidRDefault="00CD3C39">
            <w:bookmarkStart w:id="0" w:name="_GoBack"/>
            <w:bookmarkEnd w:id="0"/>
          </w:p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CD3C39" w:rsidRDefault="00CD3C39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CD3C39" w:rsidRDefault="00CD3C39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329" w:type="dxa"/>
          </w:tcPr>
          <w:p w:rsidR="00CD3C39" w:rsidRDefault="00CD3C39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CD3C39" w:rsidRDefault="00CD3C39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gridSpan w:val="2"/>
          </w:tcPr>
          <w:p w:rsidR="00CD3C39" w:rsidRDefault="00CD3C39"/>
        </w:tc>
      </w:tr>
      <w:tr w:rsidR="00CD3C39" w:rsidTr="00AB29B0">
        <w:trPr>
          <w:trHeight w:hRule="exact" w:val="251"/>
        </w:trPr>
        <w:tc>
          <w:tcPr>
            <w:tcW w:w="1691" w:type="dxa"/>
            <w:gridSpan w:val="4"/>
          </w:tcPr>
          <w:p w:rsidR="00CD3C39" w:rsidRDefault="00CD3C39"/>
        </w:tc>
        <w:tc>
          <w:tcPr>
            <w:tcW w:w="1361" w:type="dxa"/>
            <w:tcBorders>
              <w:top w:val="single" w:sz="5" w:space="0" w:color="000000"/>
            </w:tcBorders>
          </w:tcPr>
          <w:p w:rsidR="00CD3C39" w:rsidRDefault="00CD3C39"/>
        </w:tc>
        <w:tc>
          <w:tcPr>
            <w:tcW w:w="4613" w:type="dxa"/>
            <w:gridSpan w:val="6"/>
          </w:tcPr>
          <w:p w:rsidR="00CD3C39" w:rsidRDefault="00CD3C39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CD3C39" w:rsidRDefault="00CD3C39"/>
        </w:tc>
      </w:tr>
      <w:tr w:rsidR="00CD3C39" w:rsidTr="00AB29B0">
        <w:trPr>
          <w:trHeight w:hRule="exact" w:val="330"/>
        </w:trPr>
        <w:tc>
          <w:tcPr>
            <w:tcW w:w="1017" w:type="dxa"/>
            <w:gridSpan w:val="2"/>
          </w:tcPr>
          <w:p w:rsidR="00CD3C39" w:rsidRDefault="00CD3C39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411" w:type="dxa"/>
            <w:gridSpan w:val="8"/>
          </w:tcPr>
          <w:p w:rsidR="00CD3C39" w:rsidRDefault="00CD3C39"/>
        </w:tc>
      </w:tr>
      <w:tr w:rsidR="00CD3C39" w:rsidTr="00AB29B0">
        <w:trPr>
          <w:trHeight w:hRule="exact" w:val="344"/>
        </w:trPr>
        <w:tc>
          <w:tcPr>
            <w:tcW w:w="1017" w:type="dxa"/>
            <w:gridSpan w:val="2"/>
          </w:tcPr>
          <w:p w:rsidR="00CD3C39" w:rsidRDefault="00CD3C39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CD3C39" w:rsidRDefault="00CD3C39"/>
        </w:tc>
      </w:tr>
    </w:tbl>
    <w:p w:rsidR="00CD3C39" w:rsidRDefault="00CD3C39">
      <w:pPr>
        <w:sectPr w:rsidR="00CD3C39" w:rsidSect="00860D0D">
          <w:pgSz w:w="16838" w:h="11909" w:orient="landscape"/>
          <w:pgMar w:top="567" w:right="567" w:bottom="284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CD3C39">
        <w:trPr>
          <w:trHeight w:hRule="exact" w:val="115"/>
        </w:trPr>
        <w:tc>
          <w:tcPr>
            <w:tcW w:w="15632" w:type="dxa"/>
            <w:gridSpan w:val="11"/>
          </w:tcPr>
          <w:p w:rsidR="00CD3C39" w:rsidRDefault="00CD3C39"/>
        </w:tc>
      </w:tr>
      <w:tr w:rsidR="00CD3C39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CD3C39">
        <w:trPr>
          <w:trHeight w:hRule="exact" w:val="115"/>
        </w:trPr>
        <w:tc>
          <w:tcPr>
            <w:tcW w:w="15632" w:type="dxa"/>
            <w:gridSpan w:val="11"/>
          </w:tcPr>
          <w:p w:rsidR="00CD3C39" w:rsidRDefault="00CD3C39"/>
        </w:tc>
      </w:tr>
      <w:tr w:rsidR="00CD3C39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CD3C39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D3C39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CD3C39" w:rsidRDefault="00CD3C39"/>
        </w:tc>
      </w:tr>
      <w:tr w:rsidR="00CD3C39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01.01.2025)</w:t>
            </w:r>
          </w:p>
        </w:tc>
      </w:tr>
      <w:tr w:rsidR="00CD3C39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CD3C39"/>
        </w:tc>
      </w:tr>
      <w:tr w:rsidR="00CD3C39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D3C39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32 873 947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6 574 790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14 868 630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2 973 728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2 346 529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1 254 533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60 804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181 931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36 386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169 088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33 818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6 005 088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1 201 018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998 400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199 680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85 622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915 716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35 616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94 369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18 874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16 670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384 988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76 998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95 261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19 052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51 397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92 436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18 487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735 063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147 013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27 060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27 049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92 904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15 009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26 144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-2 638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2 191 519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438 304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632 110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126 422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71 625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240 257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87 135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35 247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170 214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34 043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53 523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23 193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33 338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160 086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32 017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23 716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453 684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90 737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188 144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37 629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21 513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31 595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387 937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77 587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42 692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54 530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4 265 614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853 123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467 996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93 599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758 960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882 567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176 513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61 888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114 625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23 184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38 915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951 882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190 376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809 331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161 866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14 988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13 522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21 701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56 306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1 444 814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288 963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288 714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1 004 027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7 073 565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1 414 713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1 962 261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-3 176 169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547 679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109 536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85 791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17 158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83 636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8 211 319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1 642 264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3 317 733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663 547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978 686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47 853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1 564 756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312 951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312 951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84 672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85 928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17 186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13 660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21 396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-1 213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2 452 002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490 400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536 138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107 228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60 261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322 911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1676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260 171 227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52 034 246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54 192 994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10 838 600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100 227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41 095 419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207 763 053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41 552 611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46 514 275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9 302 855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32 248 472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15 965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8 318 633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1 663 727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7 064 410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1 412 882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250 845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1 073 146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214 629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214 608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27 635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64 805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12 961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12 961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29 963 719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5 992 744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511 429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102 286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98 821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5 791 637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12 944 271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2 588 854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100 358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2 568 782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2336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293 045 174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58 609 036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69 061 624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13 812 328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2 446 756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42 349 952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102 112 802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20 422 559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89 943 398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17 988 679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2 430 848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93 609 120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18 721 824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88 634 947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17 726 989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994 835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158 647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31 729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31 729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2 878 275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575 655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582 470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116 494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456 749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843 657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168 731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448 944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78 322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93 512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93 937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18 073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26 872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5010-5200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4 408 559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881 712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273 466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827 019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77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9 913 080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7 639 144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2 110 950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162 986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>
        <w:trPr>
          <w:trHeight w:hRule="exact" w:val="123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112 025 882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CD3C39" w:rsidRDefault="00CD3C39">
      <w:pPr>
        <w:sectPr w:rsidR="00CD3C39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CD3C39" w:rsidTr="00AB29B0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CD3C39" w:rsidTr="00AB29B0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CD3C39" w:rsidTr="00AB29B0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D3C39" w:rsidTr="00AB29B0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D3C39" w:rsidRDefault="00CD3C39"/>
        </w:tc>
      </w:tr>
      <w:tr w:rsidR="00CD3C39" w:rsidTr="00AB29B0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01.01.2025</w:t>
            </w:r>
          </w:p>
        </w:tc>
      </w:tr>
      <w:tr w:rsidR="00CD3C39" w:rsidTr="00AB29B0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</w:tr>
      <w:tr w:rsidR="00CD3C39" w:rsidTr="00AB29B0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11 099 535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278 741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25 152 859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8 243 184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9 231 744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9 331 917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3 931 421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86 670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5 361 201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2 993 017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6 109 644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D3C39" w:rsidRDefault="00CD3C39"/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2 353 695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13 999 198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369 707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54 360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1 917 433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124 558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2 662 370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252 982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181 563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5 099 919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213 456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397 539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28 407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25 289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313 040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16 660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296 756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D3C39" w:rsidRDefault="00CD3C39"/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473 225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50 172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34 161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352 560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55 669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193 914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87 048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563 135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24 357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40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D3C39" w:rsidRDefault="00CD3C39"/>
        </w:tc>
      </w:tr>
      <w:tr w:rsidR="00CD3C39" w:rsidTr="00AB29B0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9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95 138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286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D3C39" w:rsidRDefault="00CD3C39"/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677 879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197 226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D3C39" w:rsidRDefault="00CD3C3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D3C39" w:rsidTr="00AB29B0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CD3C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108 747 741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4 255 455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D3C39" w:rsidTr="00AB29B0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217 495 482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8 510 910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D3C39" w:rsidRDefault="00E9053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E90531" w:rsidRDefault="00E90531"/>
    <w:sectPr w:rsidR="00E90531">
      <w:pgSz w:w="11906" w:h="1684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CD3C39"/>
    <w:rsid w:val="00622EC8"/>
    <w:rsid w:val="00860D0D"/>
    <w:rsid w:val="00AB29B0"/>
    <w:rsid w:val="00CD3C39"/>
    <w:rsid w:val="00E9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3402</Words>
  <Characters>19393</Characters>
  <Application>Microsoft Office Word</Application>
  <DocSecurity>0</DocSecurity>
  <Lines>161</Lines>
  <Paragraphs>45</Paragraphs>
  <ScaleCrop>false</ScaleCrop>
  <Company>Stimulsoft Reports 2022.2.6 from 27 May 2022, .NET 4.7</Company>
  <LinksUpToDate>false</LinksUpToDate>
  <CharactersWithSpaces>22750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Полякова Ирина Александровна</cp:lastModifiedBy>
  <cp:revision>4</cp:revision>
  <dcterms:created xsi:type="dcterms:W3CDTF">2024-07-02T11:01:00Z</dcterms:created>
  <dcterms:modified xsi:type="dcterms:W3CDTF">2024-07-02T11:25:00Z</dcterms:modified>
</cp:coreProperties>
</file>