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505EA" w:rsidTr="004505E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05EA" w:rsidRDefault="004505EA">
            <w:pPr>
              <w:pStyle w:val="ConsPlusNormal"/>
              <w:outlineLvl w:val="0"/>
            </w:pPr>
            <w:r>
              <w:rPr>
                <w:sz w:val="20"/>
              </w:rPr>
              <w:br/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505EA" w:rsidRDefault="004505EA">
            <w:pPr>
              <w:pStyle w:val="ConsPlusNormal"/>
              <w:jc w:val="right"/>
              <w:outlineLvl w:val="0"/>
            </w:pPr>
          </w:p>
        </w:tc>
      </w:tr>
    </w:tbl>
    <w:p w:rsidR="004505EA" w:rsidRDefault="004505EA">
      <w:pPr>
        <w:pStyle w:val="ConsPlusTitle"/>
        <w:jc w:val="center"/>
      </w:pPr>
      <w:r>
        <w:t>ЗАКОН</w:t>
      </w:r>
    </w:p>
    <w:p w:rsidR="004505EA" w:rsidRDefault="004505EA">
      <w:pPr>
        <w:pStyle w:val="ConsPlusTitle"/>
        <w:jc w:val="center"/>
      </w:pPr>
      <w:r>
        <w:t>КИРОВСКОЙ ОБЛАСТИ</w:t>
      </w:r>
    </w:p>
    <w:p w:rsidR="004505EA" w:rsidRDefault="004505EA">
      <w:pPr>
        <w:pStyle w:val="ConsPlusTitle"/>
        <w:jc w:val="center"/>
      </w:pPr>
    </w:p>
    <w:p w:rsidR="004505EA" w:rsidRDefault="004505EA">
      <w:pPr>
        <w:pStyle w:val="ConsPlusTitle"/>
        <w:jc w:val="center"/>
      </w:pPr>
      <w:r>
        <w:t>О ТРАНСПОРТНОМ НАЛОГЕ В КИРОВСКОЙ ОБЛАСТИ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right"/>
      </w:pPr>
      <w:proofErr w:type="gramStart"/>
      <w:r>
        <w:t>Принят</w:t>
      </w:r>
      <w:proofErr w:type="gramEnd"/>
    </w:p>
    <w:p w:rsidR="004505EA" w:rsidRDefault="004505EA">
      <w:pPr>
        <w:pStyle w:val="ConsPlusNormal"/>
        <w:jc w:val="right"/>
      </w:pPr>
      <w:r>
        <w:t>Законодательным Собранием</w:t>
      </w:r>
    </w:p>
    <w:p w:rsidR="004505EA" w:rsidRDefault="004505EA">
      <w:pPr>
        <w:pStyle w:val="ConsPlusNormal"/>
        <w:jc w:val="right"/>
      </w:pPr>
      <w:r>
        <w:t>Кировской области</w:t>
      </w:r>
    </w:p>
    <w:p w:rsidR="004505EA" w:rsidRDefault="004505EA">
      <w:pPr>
        <w:pStyle w:val="ConsPlusNormal"/>
        <w:jc w:val="right"/>
      </w:pPr>
      <w:r>
        <w:t>28 ноября 2002 года</w:t>
      </w:r>
    </w:p>
    <w:p w:rsidR="004505EA" w:rsidRDefault="004505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05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5EA" w:rsidRDefault="004505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5EA" w:rsidRDefault="004505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>Список изменяющих документов</w:t>
            </w:r>
          </w:p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4505EA">
              <w:rPr>
                <w:color w:val="000000" w:themeColor="text1"/>
              </w:rPr>
              <w:t>(в ред. Законов Кировской области</w:t>
            </w:r>
            <w:proofErr w:type="gramEnd"/>
          </w:p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>от 03.06.2003 N 159-ЗО, от 01.07.2004 N 249-ЗО, от 29.12.2004 N 298-ЗО,</w:t>
            </w:r>
          </w:p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>от 24.11.2005 N 379-ЗО, от 27.11.2006 N 49-ЗО, от 27.12.2006 N 75-ЗО,</w:t>
            </w:r>
          </w:p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>от 02.11.2007 N 177-ЗО, от 07.06.2008 N 251-ЗО, от 01.07.2009 N 396-ЗО,</w:t>
            </w:r>
          </w:p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>от 26.11.2009 N 456-ЗО, от 10.03.2010 N 504-ЗО, от 08.11.2010 N 570-ЗО,</w:t>
            </w:r>
          </w:p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>от 01.06.2011 N 8-ЗО, от 20.12.2011 N 115-ЗО, от 04.07.2013 N 304-ЗО,</w:t>
            </w:r>
          </w:p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>от 01.07.2014 N 423-ЗО, от 14.11.2016 N 14-ЗО, от 27.11.2017 N 119-ЗО,</w:t>
            </w:r>
          </w:p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>от 23.11.2018 N 193-ЗО, от 23.07.2019 N 276-ЗО, от 19.11.2019 N 314-ЗО,</w:t>
            </w:r>
          </w:p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>от 24.11.2020 N 415-ЗО, от 21.12.2021 N 26-ЗО, от 31.05.2023 N 177-ЗО,</w:t>
            </w:r>
          </w:p>
          <w:p w:rsidR="004505EA" w:rsidRPr="004505EA" w:rsidRDefault="004505EA">
            <w:pPr>
              <w:pStyle w:val="ConsPlusNormal"/>
              <w:jc w:val="center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>от 31.05.2023 N 178-ЗО, от 11.06.2025 N 402-ЗО, от 04.08.2025 N 413-ЗО,</w:t>
            </w:r>
          </w:p>
          <w:p w:rsidR="004505EA" w:rsidRDefault="004505EA">
            <w:pPr>
              <w:pStyle w:val="ConsPlusNormal"/>
              <w:jc w:val="center"/>
            </w:pPr>
            <w:r w:rsidRPr="004505EA">
              <w:rPr>
                <w:color w:val="000000" w:themeColor="text1"/>
              </w:rPr>
              <w:t>от 26.12.2025 N 454-ЗО)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5EA" w:rsidRDefault="004505EA">
            <w:pPr>
              <w:pStyle w:val="ConsPlusNormal"/>
            </w:pPr>
          </w:p>
        </w:tc>
      </w:tr>
    </w:tbl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r w:rsidRPr="004505EA">
        <w:rPr>
          <w:color w:val="000000" w:themeColor="text1"/>
        </w:rPr>
        <w:t>законом</w:t>
      </w:r>
      <w:r>
        <w:t xml:space="preserve">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Федерации" от 24.07.2002 N 110-ФЗ устанавливает и вводит в действие транспортный налог на территории Кировской области.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ind w:firstLine="540"/>
        <w:jc w:val="both"/>
      </w:pPr>
      <w:r>
        <w:t xml:space="preserve">Транспортный налог (далее - налог) устанавливается </w:t>
      </w:r>
      <w:r w:rsidRPr="004505EA">
        <w:rPr>
          <w:color w:val="000000" w:themeColor="text1"/>
        </w:rPr>
        <w:t xml:space="preserve">главой 28 </w:t>
      </w:r>
      <w:r>
        <w:t>Налогового кодекса Российской Федерации и настоящим Законом, вводится в действие настоящим Законом и обязателен к уплате на территории Кировской области.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r w:rsidRPr="004505EA">
        <w:rPr>
          <w:color w:val="000000" w:themeColor="text1"/>
        </w:rPr>
        <w:t>Закон</w:t>
      </w:r>
      <w:r>
        <w:t xml:space="preserve"> Кировской области от 07.06.2008 N 251-ЗО.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 xml:space="preserve">Абзац утратил силу с 01.01.2021. - </w:t>
      </w:r>
      <w:r w:rsidRPr="004505EA">
        <w:rPr>
          <w:color w:val="000000" w:themeColor="text1"/>
        </w:rPr>
        <w:t>Закон</w:t>
      </w:r>
      <w:r>
        <w:t xml:space="preserve"> Кировской области от 24.11.2020 N 415-ЗО.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Title"/>
        <w:ind w:firstLine="540"/>
        <w:jc w:val="both"/>
        <w:outlineLvl w:val="1"/>
      </w:pPr>
      <w:r>
        <w:t xml:space="preserve">Статья 2. Исключена. - </w:t>
      </w:r>
      <w:r w:rsidRPr="004505EA">
        <w:rPr>
          <w:color w:val="000000" w:themeColor="text1"/>
        </w:rPr>
        <w:t>Закон</w:t>
      </w:r>
      <w:r>
        <w:t xml:space="preserve"> Кировской области от 10.03.2010 N 504-ЗО.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Title"/>
        <w:ind w:firstLine="540"/>
        <w:jc w:val="both"/>
        <w:outlineLvl w:val="1"/>
      </w:pPr>
      <w:r>
        <w:t>Статья 3. Налоговые ставки</w:t>
      </w:r>
    </w:p>
    <w:p w:rsidR="004505EA" w:rsidRDefault="004505EA">
      <w:pPr>
        <w:pStyle w:val="ConsPlusNormal"/>
        <w:ind w:firstLine="540"/>
        <w:jc w:val="both"/>
      </w:pPr>
    </w:p>
    <w:p w:rsidR="004505EA" w:rsidRDefault="004505EA">
      <w:pPr>
        <w:pStyle w:val="ConsPlusNormal"/>
        <w:ind w:firstLine="540"/>
        <w:jc w:val="both"/>
      </w:pPr>
      <w:r>
        <w:t xml:space="preserve">(в ред. </w:t>
      </w:r>
      <w:r w:rsidRPr="004505EA">
        <w:rPr>
          <w:color w:val="000000" w:themeColor="text1"/>
        </w:rPr>
        <w:t>Закона</w:t>
      </w:r>
      <w:r>
        <w:t xml:space="preserve"> Кировской области от 27.11.2017 N 119-ЗО)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ind w:firstLine="540"/>
        <w:jc w:val="both"/>
      </w:pPr>
      <w:r>
        <w:t>Налоговые ставки устанавливаются соответственно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</w:p>
    <w:p w:rsidR="004505EA" w:rsidRDefault="004505EA">
      <w:pPr>
        <w:pStyle w:val="ConsPlusNormal"/>
        <w:jc w:val="both"/>
      </w:pPr>
      <w:r>
        <w:t xml:space="preserve">(в ред. </w:t>
      </w:r>
      <w:r w:rsidRPr="004505EA">
        <w:rPr>
          <w:color w:val="000000" w:themeColor="text1"/>
        </w:rPr>
        <w:t>Закона</w:t>
      </w:r>
      <w:r>
        <w:t xml:space="preserve"> Кировской области от 19.11.2019 N 314-ЗО)</w:t>
      </w:r>
    </w:p>
    <w:p w:rsidR="004505EA" w:rsidRDefault="004505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7"/>
      </w:tblGrid>
      <w:tr w:rsidR="004505EA">
        <w:tc>
          <w:tcPr>
            <w:tcW w:w="7143" w:type="dxa"/>
          </w:tcPr>
          <w:p w:rsidR="004505EA" w:rsidRDefault="004505EA">
            <w:pPr>
              <w:pStyle w:val="ConsPlusNormal"/>
              <w:jc w:val="center"/>
            </w:pPr>
            <w:r>
              <w:lastRenderedPageBreak/>
              <w:t>Наименование объекта налогообложения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Налоговая ставка (в рублях)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Автомобили легковые с мощностью двигателя (с каждой лошадиной силы):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</w:pP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до 45 л. с. (до 33,1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15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45 л. </w:t>
            </w:r>
            <w:proofErr w:type="gramStart"/>
            <w:r>
              <w:t>с</w:t>
            </w:r>
            <w:proofErr w:type="gramEnd"/>
            <w:r>
              <w:t xml:space="preserve">. до 85 л. </w:t>
            </w:r>
            <w:proofErr w:type="gramStart"/>
            <w:r>
              <w:t>с</w:t>
            </w:r>
            <w:proofErr w:type="gramEnd"/>
            <w:r>
              <w:t>. (свыше 33,1 кВт до 62,5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18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85 л. </w:t>
            </w:r>
            <w:proofErr w:type="gramStart"/>
            <w:r>
              <w:t>с</w:t>
            </w:r>
            <w:proofErr w:type="gramEnd"/>
            <w:r>
              <w:t xml:space="preserve">. до 110 л. </w:t>
            </w:r>
            <w:proofErr w:type="gramStart"/>
            <w:r>
              <w:t>с</w:t>
            </w:r>
            <w:proofErr w:type="gramEnd"/>
            <w:r>
              <w:t>. (свыше 62,5 кВт до 80,91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20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110 л. </w:t>
            </w:r>
            <w:proofErr w:type="gramStart"/>
            <w:r>
              <w:t>с</w:t>
            </w:r>
            <w:proofErr w:type="gramEnd"/>
            <w:r>
              <w:t xml:space="preserve">. до 150 л. </w:t>
            </w:r>
            <w:proofErr w:type="gramStart"/>
            <w:r>
              <w:t>с</w:t>
            </w:r>
            <w:proofErr w:type="gramEnd"/>
            <w:r>
              <w:t>. (свыше 80,91 кВт до 110,33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30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150 л. </w:t>
            </w:r>
            <w:proofErr w:type="gramStart"/>
            <w:r>
              <w:t>с</w:t>
            </w:r>
            <w:proofErr w:type="gramEnd"/>
            <w:r>
              <w:t xml:space="preserve">. до 200 л. </w:t>
            </w:r>
            <w:proofErr w:type="gramStart"/>
            <w:r>
              <w:t>с</w:t>
            </w:r>
            <w:proofErr w:type="gramEnd"/>
            <w:r>
              <w:t>. (свыше 110,33 кВт до 147,1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50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200 л. </w:t>
            </w:r>
            <w:proofErr w:type="gramStart"/>
            <w:r>
              <w:t>с</w:t>
            </w:r>
            <w:proofErr w:type="gramEnd"/>
            <w:r>
              <w:t xml:space="preserve">. до 250 л. </w:t>
            </w:r>
            <w:proofErr w:type="gramStart"/>
            <w:r>
              <w:t>с</w:t>
            </w:r>
            <w:proofErr w:type="gramEnd"/>
            <w:r>
              <w:t>. (свыше 147,1 кВт до 183,9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75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свыше 250 л. с. (свыше 183,9 кВт)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150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Мотоциклы и мотороллеры с мощностью двигателя (с каждой лошадиной силы):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</w:pP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до 20 л. с. (до 14,7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6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20 л. </w:t>
            </w:r>
            <w:proofErr w:type="gramStart"/>
            <w:r>
              <w:t>с</w:t>
            </w:r>
            <w:proofErr w:type="gramEnd"/>
            <w:r>
              <w:t xml:space="preserve">. до 35 л. </w:t>
            </w:r>
            <w:proofErr w:type="gramStart"/>
            <w:r>
              <w:t>с</w:t>
            </w:r>
            <w:proofErr w:type="gramEnd"/>
            <w:r>
              <w:t>. (свыше 14,7 кВт до 25,74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12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35 л. </w:t>
            </w:r>
            <w:proofErr w:type="gramStart"/>
            <w:r>
              <w:t>с</w:t>
            </w:r>
            <w:proofErr w:type="gramEnd"/>
            <w:r>
              <w:t xml:space="preserve">. до 45 л. </w:t>
            </w:r>
            <w:proofErr w:type="gramStart"/>
            <w:r>
              <w:t>с</w:t>
            </w:r>
            <w:proofErr w:type="gramEnd"/>
            <w:r>
              <w:t>. (свыше 25,74 кВт до 33,1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15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45 л. </w:t>
            </w:r>
            <w:proofErr w:type="gramStart"/>
            <w:r>
              <w:t>с</w:t>
            </w:r>
            <w:proofErr w:type="gramEnd"/>
            <w:r>
              <w:t xml:space="preserve">. до 100 л. </w:t>
            </w:r>
            <w:proofErr w:type="gramStart"/>
            <w:r>
              <w:t>с</w:t>
            </w:r>
            <w:proofErr w:type="gramEnd"/>
            <w:r>
              <w:t>. (свыше 33,1 кВт до 73,55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30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свыше 100 л. с. (свыше 73,55 кВт)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50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Автобусы с мощностью двигателя (с каждой лошадиной силы):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</w:pP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до 200 л. с. (до 147,1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50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свыше 200 л. с. (свыше 147,1 кВт)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100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Грузовые автомобили с мощностью двигателя (с каждой лошадиной силы):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</w:pP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до 100 л. с. (до 73,55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25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100 л. </w:t>
            </w:r>
            <w:proofErr w:type="gramStart"/>
            <w:r>
              <w:t>с</w:t>
            </w:r>
            <w:proofErr w:type="gramEnd"/>
            <w:r>
              <w:t xml:space="preserve">. до 150 л. </w:t>
            </w:r>
            <w:proofErr w:type="gramStart"/>
            <w:r>
              <w:t>с</w:t>
            </w:r>
            <w:proofErr w:type="gramEnd"/>
            <w:r>
              <w:t>. (свыше 73,55 кВт до 110,33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40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150 л. </w:t>
            </w:r>
            <w:proofErr w:type="gramStart"/>
            <w:r>
              <w:t>с</w:t>
            </w:r>
            <w:proofErr w:type="gramEnd"/>
            <w:r>
              <w:t xml:space="preserve">. до 200 л. </w:t>
            </w:r>
            <w:proofErr w:type="gramStart"/>
            <w:r>
              <w:t>с</w:t>
            </w:r>
            <w:proofErr w:type="gramEnd"/>
            <w:r>
              <w:t>. (свыше 110,33 кВт до 147,1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50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 xml:space="preserve">свыше 200 л. </w:t>
            </w:r>
            <w:proofErr w:type="gramStart"/>
            <w:r>
              <w:t>с</w:t>
            </w:r>
            <w:proofErr w:type="gramEnd"/>
            <w:r>
              <w:t xml:space="preserve">. до 250 л. </w:t>
            </w:r>
            <w:proofErr w:type="gramStart"/>
            <w:r>
              <w:t>с</w:t>
            </w:r>
            <w:proofErr w:type="gramEnd"/>
            <w:r>
              <w:t>. (свыше 147,1 кВт до 183,9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65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свыше 250 л. с. (свыше 183,9 кВт)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85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25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Снегоходы, мотосани с мощностью двигателя (с каждой лошадиной силы):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</w:pP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lastRenderedPageBreak/>
              <w:t>до 50 л. с. (до 36,77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25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свыше 50 л. с. (свыше 36,77 кВт)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50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</w:pP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до 100 л. с. (до 73,55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50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свыше 100 л. с. (свыше 73,55 кВт)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100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</w:pP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до 100 л. с. (до 73,55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100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свыше 100 л. с. (свыше 73,55 кВт)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200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Гидроциклы с мощностью двигателя (с каждой лошадиной силы):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</w:pP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до 100 л. с. (до 73,55 кВт) включительно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125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свыше 100 л. с. (свыше 73,55 кВт)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250</w:t>
            </w:r>
          </w:p>
        </w:tc>
      </w:tr>
      <w:tr w:rsidR="004505EA">
        <w:tblPrEx>
          <w:tblBorders>
            <w:insideH w:val="nil"/>
          </w:tblBorders>
        </w:tblPrEx>
        <w:tc>
          <w:tcPr>
            <w:tcW w:w="7143" w:type="dxa"/>
            <w:tcBorders>
              <w:bottom w:val="nil"/>
            </w:tcBorders>
          </w:tcPr>
          <w:p w:rsidR="004505EA" w:rsidRDefault="004505EA">
            <w:pPr>
              <w:pStyle w:val="ConsPlusNormal"/>
            </w:pPr>
            <w: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927" w:type="dxa"/>
            <w:tcBorders>
              <w:bottom w:val="nil"/>
            </w:tcBorders>
          </w:tcPr>
          <w:p w:rsidR="004505EA" w:rsidRDefault="004505EA">
            <w:pPr>
              <w:pStyle w:val="ConsPlusNormal"/>
              <w:jc w:val="center"/>
            </w:pPr>
            <w:r>
              <w:t>100</w:t>
            </w:r>
          </w:p>
        </w:tc>
      </w:tr>
      <w:tr w:rsidR="004505EA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4505EA" w:rsidRDefault="004505EA">
            <w:pPr>
              <w:pStyle w:val="ConsPlusNormal"/>
              <w:jc w:val="both"/>
            </w:pPr>
            <w:r>
              <w:t xml:space="preserve">(в ред. </w:t>
            </w:r>
            <w:r w:rsidRPr="004505EA">
              <w:rPr>
                <w:color w:val="000000" w:themeColor="text1"/>
              </w:rPr>
              <w:t>Закона</w:t>
            </w:r>
            <w:r>
              <w:t xml:space="preserve"> Кировской области от 19.11.2019 N 314-ЗО)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125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Самолеты, имеющие реактивные двигатели (с каждого килограмма силы тяги)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100</w:t>
            </w:r>
          </w:p>
        </w:tc>
      </w:tr>
      <w:tr w:rsidR="004505EA">
        <w:tc>
          <w:tcPr>
            <w:tcW w:w="7143" w:type="dxa"/>
          </w:tcPr>
          <w:p w:rsidR="004505EA" w:rsidRDefault="004505EA">
            <w:pPr>
              <w:pStyle w:val="ConsPlusNormal"/>
            </w:pPr>
            <w: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927" w:type="dxa"/>
          </w:tcPr>
          <w:p w:rsidR="004505EA" w:rsidRDefault="004505EA">
            <w:pPr>
              <w:pStyle w:val="ConsPlusNormal"/>
              <w:jc w:val="center"/>
            </w:pPr>
            <w:r>
              <w:t>1000</w:t>
            </w:r>
          </w:p>
        </w:tc>
      </w:tr>
    </w:tbl>
    <w:p w:rsidR="004505EA" w:rsidRDefault="004505EA">
      <w:pPr>
        <w:pStyle w:val="ConsPlusNormal"/>
        <w:jc w:val="both"/>
      </w:pPr>
    </w:p>
    <w:p w:rsidR="004505EA" w:rsidRDefault="004505EA">
      <w:pPr>
        <w:pStyle w:val="ConsPlusTitle"/>
        <w:ind w:firstLine="540"/>
        <w:jc w:val="both"/>
        <w:outlineLvl w:val="1"/>
      </w:pPr>
      <w:r>
        <w:t>Статья 4. Порядок уплаты налога налогоплательщиками-организациями</w:t>
      </w:r>
    </w:p>
    <w:p w:rsidR="004505EA" w:rsidRDefault="004505EA">
      <w:pPr>
        <w:pStyle w:val="ConsPlusNormal"/>
        <w:ind w:firstLine="540"/>
        <w:jc w:val="both"/>
      </w:pPr>
    </w:p>
    <w:p w:rsidR="004505EA" w:rsidRDefault="004505EA">
      <w:pPr>
        <w:pStyle w:val="ConsPlusNormal"/>
        <w:ind w:firstLine="540"/>
        <w:jc w:val="both"/>
      </w:pPr>
      <w:r>
        <w:t xml:space="preserve">(в ред. </w:t>
      </w:r>
      <w:r w:rsidRPr="004505EA">
        <w:rPr>
          <w:color w:val="000000" w:themeColor="text1"/>
        </w:rPr>
        <w:t>Закона</w:t>
      </w:r>
      <w:r>
        <w:t xml:space="preserve"> Кировской области от 24.11.2020 N 415-ЗО)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ind w:firstLine="540"/>
        <w:jc w:val="both"/>
      </w:pPr>
      <w:r>
        <w:t xml:space="preserve">Уплата налога и авансовых платежей по налогу налогоплательщиками-организациями производится в соответствии с положениями Налогового </w:t>
      </w:r>
      <w:r w:rsidRPr="004505EA">
        <w:rPr>
          <w:color w:val="000000" w:themeColor="text1"/>
        </w:rPr>
        <w:t xml:space="preserve">кодекса </w:t>
      </w:r>
      <w:r>
        <w:t>Российской Федерации.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Title"/>
        <w:ind w:firstLine="540"/>
        <w:jc w:val="both"/>
        <w:outlineLvl w:val="1"/>
      </w:pPr>
      <w:r>
        <w:t>Статья 5. Налоговые льготы, основания и порядок их применения</w:t>
      </w:r>
    </w:p>
    <w:p w:rsidR="004505EA" w:rsidRDefault="004505EA">
      <w:pPr>
        <w:pStyle w:val="ConsPlusNormal"/>
        <w:jc w:val="both"/>
      </w:pPr>
      <w:r>
        <w:t xml:space="preserve">(в ред. </w:t>
      </w:r>
      <w:r w:rsidRPr="004505EA">
        <w:rPr>
          <w:color w:val="000000" w:themeColor="text1"/>
        </w:rPr>
        <w:t xml:space="preserve">Закона </w:t>
      </w:r>
      <w:r>
        <w:t>Кировской области от 21.12.2021 N 26-ЗО)</w:t>
      </w:r>
    </w:p>
    <w:p w:rsidR="004505EA" w:rsidRDefault="004505EA">
      <w:pPr>
        <w:pStyle w:val="ConsPlusNormal"/>
        <w:ind w:firstLine="540"/>
        <w:jc w:val="both"/>
      </w:pPr>
    </w:p>
    <w:p w:rsidR="004505EA" w:rsidRDefault="004505EA">
      <w:pPr>
        <w:pStyle w:val="ConsPlusNormal"/>
        <w:ind w:firstLine="540"/>
        <w:jc w:val="both"/>
      </w:pPr>
      <w:r>
        <w:t xml:space="preserve">(в ред. </w:t>
      </w:r>
      <w:r w:rsidRPr="004505EA">
        <w:rPr>
          <w:color w:val="000000" w:themeColor="text1"/>
        </w:rPr>
        <w:t>Закона</w:t>
      </w:r>
      <w:r>
        <w:t xml:space="preserve"> Кировской области от 23.07.2019 N 276-ЗО)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ind w:firstLine="540"/>
        <w:jc w:val="both"/>
      </w:pPr>
      <w:r>
        <w:t>1. От уплаты налога освобождаются: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1) Герои Советского Союза, Герои Российской Федерации, Герои Социалистического Труда и полные кавалеры ордена Славы в отношении одного из следующих транспортных средств: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lastRenderedPageBreak/>
        <w:t>- легкового автомобиля с мощностью двигателя до 150 л. с. (до 110,33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мотоцикла (мотороллера) с мощностью двигателя до 45 л. с. (до 33,1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2) инвалиды I группы в отношении одного из следующих транспортных средств: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легкового автомобиля с мощностью двигателя до 150 л. с. (до 110,33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мотоцикла (мотороллера) с мощностью двигателя до 45 л. с. (до 33,1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 xml:space="preserve">3) физические лица в отношении тракторов и самоходных комбайнов всех марок, ведущие личное подсобное хозяйство, отнесенные к таковым в соответствии с Федеральным </w:t>
      </w:r>
      <w:r w:rsidRPr="004505EA">
        <w:rPr>
          <w:color w:val="000000" w:themeColor="text1"/>
        </w:rPr>
        <w:t xml:space="preserve">законом </w:t>
      </w:r>
      <w:r>
        <w:t>"О личном подсобном хозяйстве", на земельных участках, предоставленных в аренду.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Основанием для предоставления налоговой льготы являются следующие документы: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копия договора аренды земельного участка с установленным видом разрешенного использования - для ведения личного подсобного хозяйства;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 xml:space="preserve">- выписка из </w:t>
      </w:r>
      <w:proofErr w:type="spellStart"/>
      <w:r>
        <w:t>похозяйственной</w:t>
      </w:r>
      <w:proofErr w:type="spellEnd"/>
      <w:r>
        <w:t xml:space="preserve"> книги об учете физического лица в качестве гражданина, ведущего личное подсобное хозяйство, заверенная администрацией муниципального образования;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4) организации в отношении транспортных средств, оборудованных для использования природного газа в качестве моторного топлива.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Основанием для предоставления налоговой льготы являются документы, подтверждающие наличие оборудования для использования природного газа в качестве моторного топлива, перечень которых устанавливается Правительством Кировской области;</w:t>
      </w:r>
    </w:p>
    <w:p w:rsidR="004505EA" w:rsidRDefault="004505EA">
      <w:pPr>
        <w:pStyle w:val="ConsPlusNormal"/>
        <w:spacing w:before="220"/>
        <w:ind w:firstLine="540"/>
        <w:jc w:val="both"/>
      </w:pPr>
      <w:proofErr w:type="gramStart"/>
      <w:r>
        <w:t>5) организации, основной вид экономической деятельности которых относится к деятельности почтовой связи общего пользования, при условии направления в полном объеме средств, высвободившихся в связи с предоставлением налоговой льготы в соответствии с настоящим Законом, на выполнение работ (оказание услуг), связанных с ремонтом, реставрацией, реконструкцией, модернизацией, техническим перевооружением зданий, сооружений и помещений, в которых размещаются отделения почтовой связи.</w:t>
      </w:r>
      <w:proofErr w:type="gramEnd"/>
    </w:p>
    <w:p w:rsidR="004505EA" w:rsidRDefault="004505EA">
      <w:pPr>
        <w:pStyle w:val="ConsPlusNormal"/>
        <w:spacing w:before="220"/>
        <w:ind w:firstLine="540"/>
        <w:jc w:val="both"/>
      </w:pPr>
      <w:r>
        <w:t>Основанием для предоставления налоговой льготы являются документы, подтверждающие расходы на проведение ремонта, реставрации, реконструкции, модернизации, технического перевооружения зданий, сооружений и помещений, в которых размещаются отделения почтовой связи (договоры на выполнение работ (оказание услуг), акты выполненных работ (предоставленных услуг), сметы расходов на ремонт, платежные документы);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6) сельскохозяйственные товаропроизводители в отношении принадлежащего им автотранспорта, относящегося к категории грузовых автотранспортных средств.</w:t>
      </w:r>
    </w:p>
    <w:p w:rsidR="004505EA" w:rsidRDefault="004505EA">
      <w:pPr>
        <w:pStyle w:val="ConsPlusNormal"/>
        <w:spacing w:before="220"/>
        <w:ind w:firstLine="540"/>
        <w:jc w:val="both"/>
      </w:pPr>
      <w:proofErr w:type="gramStart"/>
      <w:r>
        <w:t>В целях применения настоящего Закона сельскохозяйственными товаропроизводителями признаются организации и крестьянские (фермерские) хозяйства, осуществляющие производство сельскохозяйственной продукции, ее первичную и последующую (промышленную) переработку и реализацию этой продукции, при условии, что в общем доходе от реализации продукции (работ, услуг) доля дохода от реализации произведенной ими сельскохозяйственной продукции, включая продукцию ее первичной переработки, произведенную ими из сельскохозяйственного сырья собственного производства, составляет не</w:t>
      </w:r>
      <w:proofErr w:type="gramEnd"/>
      <w:r>
        <w:t xml:space="preserve"> менее 70 процентов за налоговый период.</w:t>
      </w:r>
    </w:p>
    <w:p w:rsidR="004505EA" w:rsidRDefault="004505EA">
      <w:pPr>
        <w:pStyle w:val="ConsPlusNormal"/>
        <w:jc w:val="both"/>
      </w:pPr>
      <w:r>
        <w:t xml:space="preserve">(в ред. </w:t>
      </w:r>
      <w:r w:rsidRPr="004505EA">
        <w:rPr>
          <w:color w:val="000000" w:themeColor="text1"/>
        </w:rPr>
        <w:t>Закона</w:t>
      </w:r>
      <w:r>
        <w:t xml:space="preserve"> Кировской области от 04.08.2025 N 413-ЗО)</w:t>
      </w:r>
    </w:p>
    <w:p w:rsidR="004505EA" w:rsidRDefault="004505EA">
      <w:pPr>
        <w:pStyle w:val="ConsPlusNormal"/>
        <w:spacing w:before="220"/>
        <w:ind w:firstLine="540"/>
        <w:jc w:val="both"/>
      </w:pPr>
      <w:proofErr w:type="gramStart"/>
      <w:r>
        <w:t xml:space="preserve">Для организаций и крестьянских (фермерских) хозяйств, осуществляющих последующую </w:t>
      </w:r>
      <w:r>
        <w:lastRenderedPageBreak/>
        <w:t>(промышленную) переработку продукции первичной переработки, произведенной ими из сельскохозяйственного сырья собственного производства, доля дохода от реализации продукции первичной переработки, произведенной ими из сельскохозяйственного сырья собственного производства, в общем доходе от реализации произведенной ими продукции из сельскохозяйственного сырья собственного производства определяется исходя из соотношения расходов на производство сельскохозяйственной продукции и первичную переработку сельскохозяйственной</w:t>
      </w:r>
      <w:proofErr w:type="gramEnd"/>
      <w:r>
        <w:t xml:space="preserve"> продукции и общей суммы расходов на производство продукции из произведенного ими сельскохозяйственного сырья.</w:t>
      </w:r>
    </w:p>
    <w:p w:rsidR="004505EA" w:rsidRDefault="004505EA">
      <w:pPr>
        <w:pStyle w:val="ConsPlusNormal"/>
        <w:jc w:val="both"/>
      </w:pPr>
      <w:r>
        <w:t xml:space="preserve">(абзац введен </w:t>
      </w:r>
      <w:r w:rsidRPr="004505EA">
        <w:rPr>
          <w:color w:val="000000" w:themeColor="text1"/>
        </w:rPr>
        <w:t>Законом</w:t>
      </w:r>
      <w:r>
        <w:t xml:space="preserve"> Кировской области от 04.08.2025 N 413-ЗО)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В целях применения настоящего подпункта:</w:t>
      </w:r>
    </w:p>
    <w:p w:rsidR="004505EA" w:rsidRDefault="004505EA">
      <w:pPr>
        <w:pStyle w:val="ConsPlusNormal"/>
        <w:jc w:val="both"/>
      </w:pPr>
      <w:r>
        <w:t xml:space="preserve">(абзац введен </w:t>
      </w:r>
      <w:r w:rsidRPr="004505EA">
        <w:rPr>
          <w:color w:val="000000" w:themeColor="text1"/>
        </w:rPr>
        <w:t>Законом</w:t>
      </w:r>
      <w:r>
        <w:t xml:space="preserve"> Кировской области от 04.08.2025 N 413-ЗО)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 xml:space="preserve">к сельскохозяйственной продукции и продукции первичной переработки, произведенной из сельскохозяйственного сырья собственного производства, относится продукция в соответствии с перечнем видов продукции, относимой к сельскохозяйственной продукции, и перечнем продукции, относимой к продукции первичной переработки, произведенной из сельскохозяйственного сырья собственного производства, </w:t>
      </w:r>
      <w:proofErr w:type="gramStart"/>
      <w:r>
        <w:t>утвержденными</w:t>
      </w:r>
      <w:proofErr w:type="gramEnd"/>
      <w:r>
        <w:t xml:space="preserve"> Правительством Российской Федерации;</w:t>
      </w:r>
    </w:p>
    <w:p w:rsidR="004505EA" w:rsidRDefault="004505EA">
      <w:pPr>
        <w:pStyle w:val="ConsPlusNormal"/>
        <w:jc w:val="both"/>
      </w:pPr>
      <w:r>
        <w:t xml:space="preserve">(абзац введен </w:t>
      </w:r>
      <w:r w:rsidRPr="004505EA">
        <w:rPr>
          <w:color w:val="000000" w:themeColor="text1"/>
        </w:rPr>
        <w:t>Законом</w:t>
      </w:r>
      <w:r>
        <w:t xml:space="preserve"> Кировской области от 04.08.2025 N 413-ЗО)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 xml:space="preserve">доходы от реализации продукции определяются в порядке, предусмотренном </w:t>
      </w:r>
      <w:r w:rsidRPr="004505EA">
        <w:rPr>
          <w:color w:val="000000" w:themeColor="text1"/>
        </w:rPr>
        <w:t xml:space="preserve">статьями 248 </w:t>
      </w:r>
      <w:r>
        <w:t xml:space="preserve">и </w:t>
      </w:r>
      <w:r w:rsidRPr="004505EA">
        <w:rPr>
          <w:color w:val="000000" w:themeColor="text1"/>
        </w:rPr>
        <w:t xml:space="preserve">249 </w:t>
      </w:r>
      <w:r>
        <w:t xml:space="preserve">Налогового кодекса Российской Федерации, без учета доходов, указанных в </w:t>
      </w:r>
      <w:r w:rsidRPr="004505EA">
        <w:rPr>
          <w:color w:val="000000" w:themeColor="text1"/>
        </w:rPr>
        <w:t>статье 251</w:t>
      </w:r>
      <w:r>
        <w:t xml:space="preserve"> Налогового кодекса Российской Федерации.</w:t>
      </w:r>
    </w:p>
    <w:p w:rsidR="004505EA" w:rsidRDefault="004505EA">
      <w:pPr>
        <w:pStyle w:val="ConsPlusNormal"/>
        <w:jc w:val="both"/>
      </w:pPr>
      <w:r>
        <w:t xml:space="preserve">(абзац введен </w:t>
      </w:r>
      <w:r w:rsidRPr="004505EA">
        <w:rPr>
          <w:color w:val="000000" w:themeColor="text1"/>
        </w:rPr>
        <w:t>Законом</w:t>
      </w:r>
      <w:r>
        <w:t xml:space="preserve"> Кировской области от 04.08.2025 N 413-ЗО)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Доля доходов от реализации сельскохозяйственной продукции определяется по результатам работы за прошедший налоговый период:</w:t>
      </w:r>
    </w:p>
    <w:p w:rsidR="004505EA" w:rsidRDefault="004505EA">
      <w:pPr>
        <w:pStyle w:val="ConsPlusNormal"/>
        <w:spacing w:before="220"/>
        <w:ind w:firstLine="540"/>
        <w:jc w:val="both"/>
      </w:pPr>
      <w:proofErr w:type="gramStart"/>
      <w:r>
        <w:t>если за прошедший налоговый период доля доходов составила 70 и более процентов, то в текущем налоговом периоде налог не уплачивается, но если по результатам работы за текущий налоговый период эта доля будет менее 70 процентов, уплата налога за текущий налоговый период производится в десятидневный срок со дня, установленного для представления бухгалтерского отчета и баланса за год;</w:t>
      </w:r>
      <w:proofErr w:type="gramEnd"/>
    </w:p>
    <w:p w:rsidR="004505EA" w:rsidRDefault="004505EA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течение прошедшего налогового периода налог уплачивался, но по результатам работы за этот налоговый период доля доходов составила 70 и более процентов, налогоплательщику по его заявлению производится возврат уплаченных сумм налога или их зачет в счет будущих платежей в установленном порядке;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если за прошедший налоговый период доля доходов составила менее 70 процентов, то в текущем налоговом периоде уплата налога производится в общеустановленном порядке.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Для сельскохозяйственных товаропроизводителей, осуществляющих торговую деятельность, в общем доходе учитывается разница между продажной и покупной стоимостью товаров.</w:t>
      </w:r>
    </w:p>
    <w:p w:rsidR="004505EA" w:rsidRDefault="004505EA">
      <w:pPr>
        <w:pStyle w:val="ConsPlusNormal"/>
        <w:spacing w:before="220"/>
        <w:ind w:firstLine="540"/>
        <w:jc w:val="both"/>
      </w:pPr>
      <w:proofErr w:type="gramStart"/>
      <w:r>
        <w:t>Основаниями для предоставления налоговой льготы для организаций и крестьянских (фермерских) хозяйств, зарегистрированных как юридические лица, являются данные годовой отчетности о финансово-экономическом состоянии товаропроизводителей агропромышленного комплекса по форме, утверждаемой Министерством сельского хозяйства Российской Федерации, данные о расчете доли дохода от реализации произведенной сельскохозяйственной продукции, включая продукцию ее первичной переработки, произведенную из сельскохозяйственного сырья собственного производства, по форме, установленной Правительством Кировской области;</w:t>
      </w:r>
      <w:proofErr w:type="gramEnd"/>
    </w:p>
    <w:p w:rsidR="004505EA" w:rsidRDefault="004505EA">
      <w:pPr>
        <w:pStyle w:val="ConsPlusNormal"/>
        <w:jc w:val="both"/>
      </w:pPr>
      <w:r>
        <w:t>(в ред.</w:t>
      </w:r>
      <w:r w:rsidRPr="004505EA">
        <w:rPr>
          <w:color w:val="000000" w:themeColor="text1"/>
        </w:rPr>
        <w:t xml:space="preserve"> Закона </w:t>
      </w:r>
      <w:r>
        <w:t>Кировской области от 04.08.2025 N 413-ЗО)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 xml:space="preserve">7) действовал по 31.12.2025. - </w:t>
      </w:r>
      <w:r w:rsidRPr="004505EA">
        <w:rPr>
          <w:color w:val="000000" w:themeColor="text1"/>
        </w:rPr>
        <w:t xml:space="preserve">Ст. 2 </w:t>
      </w:r>
      <w:r>
        <w:t>Закона Кировской области от 31.05.2023 N 177-ЗО;</w:t>
      </w:r>
    </w:p>
    <w:p w:rsidR="004505EA" w:rsidRDefault="004505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05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5EA" w:rsidRDefault="004505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5EA" w:rsidRPr="004505EA" w:rsidRDefault="004505E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5EA" w:rsidRPr="004505EA" w:rsidRDefault="004505EA">
            <w:pPr>
              <w:pStyle w:val="ConsPlusNormal"/>
              <w:jc w:val="both"/>
              <w:rPr>
                <w:color w:val="000000" w:themeColor="text1"/>
              </w:rPr>
            </w:pPr>
            <w:r w:rsidRPr="004505EA">
              <w:rPr>
                <w:color w:val="000000" w:themeColor="text1"/>
              </w:rPr>
              <w:t xml:space="preserve">Законом Кировской области от 31.05.2023 N 178-ЗО в </w:t>
            </w:r>
            <w:proofErr w:type="spellStart"/>
            <w:r w:rsidRPr="004505EA">
              <w:rPr>
                <w:color w:val="000000" w:themeColor="text1"/>
              </w:rPr>
              <w:t>пп</w:t>
            </w:r>
            <w:proofErr w:type="spellEnd"/>
            <w:r w:rsidRPr="004505EA">
              <w:rPr>
                <w:color w:val="000000" w:themeColor="text1"/>
              </w:rPr>
              <w:t>. 8 внесены изменения, которые действуют по 31.12.2028.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5EA" w:rsidRDefault="004505EA">
            <w:pPr>
              <w:pStyle w:val="ConsPlusNormal"/>
            </w:pPr>
          </w:p>
        </w:tc>
      </w:tr>
    </w:tbl>
    <w:p w:rsidR="004505EA" w:rsidRDefault="004505EA">
      <w:pPr>
        <w:pStyle w:val="ConsPlusNormal"/>
        <w:spacing w:before="280"/>
        <w:ind w:firstLine="540"/>
        <w:jc w:val="both"/>
      </w:pPr>
      <w:r>
        <w:t>8) физические лица в отношении одного легкового автомобиля или одного грузового автомобиля с мощностью двигателя до 110 л. с. (80,91 кВт) включительно, оборудованного для использования природного газа в качестве моторного топлива.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Основанием для предоставления налоговой льготы являются документы, подтверждающие наличие оборудования для использования природного газа в качестве моторного топлива, перечень которых устанавливается Правительством Кировской области.</w:t>
      </w:r>
    </w:p>
    <w:p w:rsidR="004505EA" w:rsidRDefault="004505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</w:t>
      </w:r>
      <w:proofErr w:type="gramStart"/>
      <w:r>
        <w:t>введен</w:t>
      </w:r>
      <w:proofErr w:type="gramEnd"/>
      <w:r>
        <w:t xml:space="preserve"> </w:t>
      </w:r>
      <w:r w:rsidRPr="004505EA">
        <w:rPr>
          <w:color w:val="000000" w:themeColor="text1"/>
        </w:rPr>
        <w:t>Законом</w:t>
      </w:r>
      <w:r>
        <w:t xml:space="preserve"> Кировской области от 31.05.2023 N 178-ЗО)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2. Уплачивают налог в размере 30 процентов от установленной ставки:</w:t>
      </w:r>
    </w:p>
    <w:p w:rsidR="004505EA" w:rsidRDefault="004505EA">
      <w:pPr>
        <w:pStyle w:val="ConsPlusNormal"/>
        <w:spacing w:before="220"/>
        <w:ind w:firstLine="540"/>
        <w:jc w:val="both"/>
      </w:pPr>
      <w:proofErr w:type="gramStart"/>
      <w:r>
        <w:t xml:space="preserve">1) категории граждан, подвергшихся воздействию радиации вследствие чернобыльской катастрофы, в соответствии с </w:t>
      </w:r>
      <w:hyperlink r:id="rId5">
        <w:r w:rsidRPr="004505EA">
          <w:rPr>
            <w:color w:val="000000" w:themeColor="text1"/>
          </w:rPr>
          <w:t>Законом</w:t>
        </w:r>
      </w:hyperlink>
      <w:r>
        <w:t xml:space="preserve"> Российской Федерации "О социальной защите граждан, подвергшихся радиации вследствие катастрофы на Чернобыльской АЭС", а также иные категории граждан, на которых распространяется в соответствии с законодательством Российской Федерации действие указанного Закона Российской Федерации, в отношении одного из следующих транспортных средств:</w:t>
      </w:r>
      <w:proofErr w:type="gramEnd"/>
    </w:p>
    <w:p w:rsidR="004505EA" w:rsidRDefault="004505EA">
      <w:pPr>
        <w:pStyle w:val="ConsPlusNormal"/>
        <w:spacing w:before="220"/>
        <w:ind w:firstLine="540"/>
        <w:jc w:val="both"/>
      </w:pPr>
      <w:r>
        <w:t>- легкового автомобиля с мощностью двигателя до 150 л. с. (до 110,33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мотоцикла (мотороллера) с мощностью двигателя до 45 л. с. (до 33,1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 xml:space="preserve">2) инвалиды II и III групп, инвалиды боевых действий, указанные в </w:t>
      </w:r>
      <w:r w:rsidRPr="004505EA">
        <w:rPr>
          <w:color w:val="000000" w:themeColor="text1"/>
        </w:rPr>
        <w:t>подпунктах 2</w:t>
      </w:r>
      <w:r>
        <w:t xml:space="preserve">, </w:t>
      </w:r>
      <w:r w:rsidRPr="004505EA">
        <w:rPr>
          <w:color w:val="000000" w:themeColor="text1"/>
        </w:rPr>
        <w:t>3</w:t>
      </w:r>
      <w:r>
        <w:t xml:space="preserve">, </w:t>
      </w:r>
      <w:r w:rsidRPr="004505EA">
        <w:rPr>
          <w:color w:val="000000" w:themeColor="text1"/>
        </w:rPr>
        <w:t xml:space="preserve">6 статьи 4 </w:t>
      </w:r>
      <w:r>
        <w:t>Федерального закона "О ветеранах", в отношении одного из следующих транспортных средств: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легкового автомобиля с мощностью двигателя до 150 л. с. (до 110,33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мотоцикла (мотороллера) с мощностью двигателя до 45 л. с. (до 33,1 кВт) включительно.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3. Уплачивают налог в размере 50 процентов от установленной ставки: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1) мужчины, достигшие возраста 60 лет, и женщины, достигшие возраста 55 лет, не пользующиеся льготами по другим предусмотренным настоящим Законом основаниям, в отношении одного из следующих транспортных средств: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легкового автомобиля с мощностью двигателя до 150 л. с. (до 110,33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мотоцикла (мотороллера) с мощностью двигателя до 45 л. с. (до 33,1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2) физические лица в отношении одного катера, моторной лодки или другого водного транспортного средства с мощностью двигателя до 100 л. с. (до 73,55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proofErr w:type="gramStart"/>
      <w:r>
        <w:t>3) физические лица - один из родителей (усыновителей) многодетной семьи, имеющей на конец налогового периода в своем составе трех и более детей до достижения старшим ребенком из трех младших несовершеннолетних детей возраста 18 лет или возраста 23 лет при условии его обучения по очной форме в организации, осуществляющей образовательную деятельность, не пользующийся льготами по другим предусмотренным настоящим Законом основаниям, в отношении</w:t>
      </w:r>
      <w:proofErr w:type="gramEnd"/>
      <w:r>
        <w:t xml:space="preserve"> одного из следующих транспортных средств:</w:t>
      </w:r>
    </w:p>
    <w:p w:rsidR="004505EA" w:rsidRDefault="004505EA">
      <w:pPr>
        <w:pStyle w:val="ConsPlusNormal"/>
        <w:jc w:val="both"/>
      </w:pPr>
      <w:r>
        <w:t xml:space="preserve">(в ред. </w:t>
      </w:r>
      <w:r w:rsidRPr="004505EA">
        <w:rPr>
          <w:color w:val="000000" w:themeColor="text1"/>
        </w:rPr>
        <w:t>Закона</w:t>
      </w:r>
      <w:r>
        <w:t xml:space="preserve"> Кировской области от 26.12.2025 N 454-ЗО)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легкового автомобиля с мощностью двигателя до 200 л. с. (до 147,1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lastRenderedPageBreak/>
        <w:t>- грузового автомобиля с мощностью двигателя до 150 л. с. (до 110,33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автобуса с мощностью двигателя до 200 л. с. (до 147,1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мотоцикла (мотороллера) с мощностью двигателя до 45 л. с. (до 33,1 кВт) включительно;</w:t>
      </w:r>
    </w:p>
    <w:p w:rsidR="004505EA" w:rsidRDefault="004505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r w:rsidRPr="004505EA">
        <w:rPr>
          <w:color w:val="000000" w:themeColor="text1"/>
        </w:rPr>
        <w:t>Закона</w:t>
      </w:r>
      <w:r>
        <w:t xml:space="preserve"> Кировской области от 11.06.2025 N 402-ЗО)</w:t>
      </w:r>
    </w:p>
    <w:p w:rsidR="004505EA" w:rsidRDefault="004505EA">
      <w:pPr>
        <w:pStyle w:val="ConsPlusNormal"/>
        <w:spacing w:before="220"/>
        <w:ind w:firstLine="540"/>
        <w:jc w:val="both"/>
      </w:pPr>
      <w:proofErr w:type="gramStart"/>
      <w:r>
        <w:t xml:space="preserve">4) ветераны, указанные в </w:t>
      </w:r>
      <w:hyperlink r:id="rId6">
        <w:r w:rsidRPr="004505EA">
          <w:rPr>
            <w:color w:val="000000" w:themeColor="text1"/>
          </w:rPr>
          <w:t>пункте 1 статьи 3</w:t>
        </w:r>
      </w:hyperlink>
      <w:r>
        <w:t xml:space="preserve"> Федерального закона "О ветеранах", а также военнослужащие, лица рядового и начальствующего состава органов внутренних дел, органов и учреждений уголовно-исполнительной системы, уволенные в запас (отставку), принимавшие участие в боевых действиях при исполнении служебных обязанностей в ходе вооруженных конфликтов немеждународного характера, контртеррористических операций, в зонах чрезвычайного положения на территории Российской Федерации и территориях республик</w:t>
      </w:r>
      <w:proofErr w:type="gramEnd"/>
      <w:r>
        <w:t xml:space="preserve"> бывшего СССР, не вошедших в </w:t>
      </w:r>
      <w:r w:rsidRPr="004505EA">
        <w:rPr>
          <w:color w:val="000000" w:themeColor="text1"/>
        </w:rPr>
        <w:t xml:space="preserve">раздел III </w:t>
      </w:r>
      <w:r>
        <w:t>Перечня государств, городов, территорий и периодов ведения боевых действий с участием граждан Российской Федерации - приложения к Федеральному закону "О ветеранах", в отношении одного из следующих транспортных средств: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легкового автомобиля с мощностью двигателя до 150 л. с. (до 110,33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мотоцикла (мотороллера) с мощностью двигателя до 45 л. с. (до 33,1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5) физические лица - один из родителей (усыновителей, опекунов, попечителей), имеющий ребенка-инвалида (детей-инвалидов) в возрасте до 18 лет, в отношении одного из следующих транспортных средств: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легкового автомобиля с мощностью двигателя до 150 л. с. (до 110,33 кВт) включительно;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- мотоцикла (мотороллера) с мощностью двигателя до 45 л. с. (до 33,1 кВт) включительно;</w:t>
      </w:r>
    </w:p>
    <w:p w:rsidR="004505EA" w:rsidRDefault="004505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05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5EA" w:rsidRDefault="004505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5EA" w:rsidRDefault="004505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5EA" w:rsidRDefault="004505EA">
            <w:pPr>
              <w:pStyle w:val="ConsPlusNormal"/>
              <w:jc w:val="both"/>
            </w:pPr>
            <w:r w:rsidRPr="004505EA">
              <w:rPr>
                <w:color w:val="000000" w:themeColor="text1"/>
              </w:rPr>
              <w:t xml:space="preserve">Законом Кировской области от 31.05.2023 N 178-ЗО в </w:t>
            </w:r>
            <w:proofErr w:type="spellStart"/>
            <w:r w:rsidRPr="004505EA">
              <w:rPr>
                <w:color w:val="000000" w:themeColor="text1"/>
              </w:rPr>
              <w:t>пп</w:t>
            </w:r>
            <w:proofErr w:type="spellEnd"/>
            <w:r w:rsidRPr="004505EA">
              <w:rPr>
                <w:color w:val="000000" w:themeColor="text1"/>
              </w:rPr>
              <w:t>. 6 внесены изменения, которые действуют по 31.12.2028.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5EA" w:rsidRDefault="004505EA">
            <w:pPr>
              <w:pStyle w:val="ConsPlusNormal"/>
            </w:pPr>
          </w:p>
        </w:tc>
      </w:tr>
    </w:tbl>
    <w:p w:rsidR="004505EA" w:rsidRDefault="004505EA">
      <w:pPr>
        <w:pStyle w:val="ConsPlusNormal"/>
        <w:spacing w:before="280"/>
        <w:ind w:firstLine="540"/>
        <w:jc w:val="both"/>
      </w:pPr>
      <w:r>
        <w:t>6) физические лица в отношении одного легкового автомобиля или одного грузового автомобиля с мощностью двигателя более 110 л. с. (80,91 кВт) и до 150 л. с. (110,33 кВт) включительно, оборудованного для использования природного газа в качестве моторного топлива.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Основанием для предоставления налоговой льготы являются документы, подтверждающие наличие оборудования для использования природного газа в качестве моторного топлива, перечень которых устанавливается Правительством Кировской области.</w:t>
      </w:r>
    </w:p>
    <w:p w:rsidR="004505EA" w:rsidRDefault="004505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</w:t>
      </w:r>
      <w:proofErr w:type="gramStart"/>
      <w:r>
        <w:t>введен</w:t>
      </w:r>
      <w:proofErr w:type="gramEnd"/>
      <w:r>
        <w:t xml:space="preserve"> </w:t>
      </w:r>
      <w:r w:rsidRPr="004505EA">
        <w:rPr>
          <w:color w:val="000000" w:themeColor="text1"/>
        </w:rPr>
        <w:t>Законом</w:t>
      </w:r>
      <w:r>
        <w:t xml:space="preserve"> Кировской области от 31.05.2023 N 178-ЗО)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 xml:space="preserve">4. Налоговые льготы, установленные настоящей статьей, предоставляются налогоплательщикам - физическим лицам в порядке, предусмотренном </w:t>
      </w:r>
      <w:r w:rsidRPr="004505EA">
        <w:rPr>
          <w:color w:val="000000" w:themeColor="text1"/>
        </w:rPr>
        <w:t xml:space="preserve">пунктом 3 статьи 361.1 </w:t>
      </w:r>
      <w:r>
        <w:t>Налогового кодекса Российской Федерации.</w:t>
      </w:r>
    </w:p>
    <w:p w:rsidR="004505EA" w:rsidRDefault="004505EA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льготы, налоговая льгота предоставляется в отношении одного транспортного средства с максимальной исчисленной суммой налога.</w:t>
      </w:r>
    </w:p>
    <w:p w:rsidR="004505EA" w:rsidRDefault="004505EA">
      <w:pPr>
        <w:pStyle w:val="ConsPlusNormal"/>
        <w:jc w:val="both"/>
      </w:pPr>
      <w:r>
        <w:t xml:space="preserve">(п. 4 в ред. </w:t>
      </w:r>
      <w:r w:rsidRPr="004505EA">
        <w:rPr>
          <w:color w:val="000000" w:themeColor="text1"/>
        </w:rPr>
        <w:t>Закона</w:t>
      </w:r>
      <w:r>
        <w:t xml:space="preserve"> Кировской области от 21.12.2021 N 26-ЗО)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Title"/>
        <w:ind w:firstLine="540"/>
        <w:jc w:val="both"/>
        <w:outlineLvl w:val="1"/>
      </w:pPr>
      <w:r>
        <w:t>Статья 6. Заключительные положения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ind w:firstLine="540"/>
        <w:jc w:val="both"/>
      </w:pPr>
      <w:r>
        <w:t xml:space="preserve">Настоящий Закон вступает в силу через месяц со дня его официального опубликования и </w:t>
      </w:r>
      <w:r>
        <w:lastRenderedPageBreak/>
        <w:t>вводится в действие с 1 января 2003 года.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right"/>
      </w:pPr>
      <w:r>
        <w:t>Губернатор</w:t>
      </w:r>
    </w:p>
    <w:p w:rsidR="004505EA" w:rsidRDefault="004505EA">
      <w:pPr>
        <w:pStyle w:val="ConsPlusNormal"/>
        <w:jc w:val="right"/>
      </w:pPr>
      <w:r>
        <w:t>Кировской области</w:t>
      </w:r>
    </w:p>
    <w:p w:rsidR="004505EA" w:rsidRDefault="004505EA">
      <w:pPr>
        <w:pStyle w:val="ConsPlusNormal"/>
        <w:jc w:val="right"/>
      </w:pPr>
      <w:r>
        <w:t>В.Н.СЕРГЕЕНКОВ</w:t>
      </w:r>
    </w:p>
    <w:p w:rsidR="004505EA" w:rsidRDefault="004505EA">
      <w:pPr>
        <w:pStyle w:val="ConsPlusNormal"/>
      </w:pPr>
      <w:r>
        <w:t>г. Киров</w:t>
      </w:r>
    </w:p>
    <w:p w:rsidR="004505EA" w:rsidRDefault="004505EA">
      <w:pPr>
        <w:pStyle w:val="ConsPlusNormal"/>
        <w:spacing w:before="220"/>
      </w:pPr>
      <w:r>
        <w:t>28 ноября 2002 года</w:t>
      </w:r>
    </w:p>
    <w:p w:rsidR="004505EA" w:rsidRDefault="004505EA">
      <w:pPr>
        <w:pStyle w:val="ConsPlusNormal"/>
        <w:spacing w:before="220"/>
      </w:pPr>
      <w:r>
        <w:t>N 114-ЗО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right"/>
        <w:outlineLvl w:val="0"/>
      </w:pPr>
      <w:r>
        <w:t>Приложение N 1</w:t>
      </w:r>
    </w:p>
    <w:p w:rsidR="004505EA" w:rsidRDefault="004505EA">
      <w:pPr>
        <w:pStyle w:val="ConsPlusNormal"/>
        <w:jc w:val="right"/>
      </w:pPr>
      <w:r>
        <w:t>к Закону</w:t>
      </w:r>
    </w:p>
    <w:p w:rsidR="004505EA" w:rsidRDefault="004505EA">
      <w:pPr>
        <w:pStyle w:val="ConsPlusNormal"/>
        <w:jc w:val="right"/>
      </w:pPr>
      <w:r>
        <w:t>Кировской области</w:t>
      </w:r>
    </w:p>
    <w:p w:rsidR="004505EA" w:rsidRDefault="004505EA">
      <w:pPr>
        <w:pStyle w:val="ConsPlusNormal"/>
        <w:jc w:val="right"/>
      </w:pPr>
      <w:r>
        <w:t>от 28 ноября 2002 г. N 114-ЗО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center"/>
      </w:pPr>
      <w:r>
        <w:t>РАСЧЕТ</w:t>
      </w:r>
    </w:p>
    <w:p w:rsidR="004505EA" w:rsidRDefault="004505EA">
      <w:pPr>
        <w:pStyle w:val="ConsPlusNormal"/>
        <w:jc w:val="center"/>
      </w:pPr>
      <w:r>
        <w:t>АВАНСОВЫХ ПЛАТЕЖЕЙ ПО ТРАНСПОРТНОМУ НАЛОГУ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ind w:firstLine="540"/>
        <w:jc w:val="both"/>
      </w:pPr>
      <w:r>
        <w:t xml:space="preserve">Исключен с 01.01.2006. - </w:t>
      </w:r>
      <w:r w:rsidRPr="004505EA">
        <w:rPr>
          <w:color w:val="000000" w:themeColor="text1"/>
        </w:rPr>
        <w:t>Закон</w:t>
      </w:r>
      <w:r>
        <w:t xml:space="preserve"> Кировской области от 24.11.2005 N 379-ЗО.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right"/>
        <w:outlineLvl w:val="0"/>
      </w:pPr>
      <w:r>
        <w:t>Приложение</w:t>
      </w:r>
    </w:p>
    <w:p w:rsidR="004505EA" w:rsidRDefault="004505EA">
      <w:pPr>
        <w:pStyle w:val="ConsPlusNormal"/>
        <w:jc w:val="right"/>
      </w:pPr>
      <w:r>
        <w:t>к Закону</w:t>
      </w:r>
    </w:p>
    <w:p w:rsidR="004505EA" w:rsidRDefault="004505EA">
      <w:pPr>
        <w:pStyle w:val="ConsPlusNormal"/>
        <w:jc w:val="right"/>
      </w:pPr>
      <w:r>
        <w:t>Кировской области</w:t>
      </w:r>
    </w:p>
    <w:p w:rsidR="004505EA" w:rsidRDefault="004505EA">
      <w:pPr>
        <w:pStyle w:val="ConsPlusNormal"/>
        <w:jc w:val="right"/>
      </w:pPr>
      <w:r>
        <w:t>от 28 ноября 2002 г. N 114-ЗО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center"/>
      </w:pPr>
      <w:r>
        <w:t>СПИСОК</w:t>
      </w:r>
    </w:p>
    <w:p w:rsidR="004505EA" w:rsidRDefault="004505EA">
      <w:pPr>
        <w:pStyle w:val="ConsPlusNormal"/>
        <w:jc w:val="center"/>
      </w:pPr>
      <w:r>
        <w:t>ТРАНСПОРТНЫХ СРЕДСТВ, ВКЛЮЧЕННЫХ В СОСТАВ</w:t>
      </w:r>
    </w:p>
    <w:p w:rsidR="004505EA" w:rsidRDefault="004505EA">
      <w:pPr>
        <w:pStyle w:val="ConsPlusNormal"/>
        <w:jc w:val="center"/>
      </w:pPr>
      <w:r>
        <w:t>АВТОМОБИЛЬНОЙ КОЛОННЫ ВОЙСКОВОГО ТИПА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ind w:firstLine="540"/>
        <w:jc w:val="both"/>
      </w:pPr>
      <w:r>
        <w:t>Утратил силу с 01.01.2019. -</w:t>
      </w:r>
      <w:r w:rsidRPr="004505EA">
        <w:rPr>
          <w:color w:val="000000" w:themeColor="text1"/>
        </w:rPr>
        <w:t xml:space="preserve"> Закон </w:t>
      </w:r>
      <w:r>
        <w:t>Кировской области от 23.11.2018 N 193-ЗО.</w:t>
      </w: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jc w:val="both"/>
      </w:pPr>
    </w:p>
    <w:p w:rsidR="004505EA" w:rsidRDefault="004505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245A" w:rsidRDefault="0096245A"/>
    <w:sectPr w:rsidR="0096245A" w:rsidSect="002E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EA"/>
    <w:rsid w:val="004505EA"/>
    <w:rsid w:val="0096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0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05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0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05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083&amp;dst=100030" TargetMode="External"/><Relationship Id="rId5" Type="http://schemas.openxmlformats.org/officeDocument/2006/relationships/hyperlink" Target="https://login.consultant.ru/link/?req=doc&amp;base=LAW&amp;n=5112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Мария Владимировна</dc:creator>
  <cp:lastModifiedBy>Доронина Мария Владимировна</cp:lastModifiedBy>
  <cp:revision>1</cp:revision>
  <dcterms:created xsi:type="dcterms:W3CDTF">2026-06-26T08:39:00Z</dcterms:created>
  <dcterms:modified xsi:type="dcterms:W3CDTF">2026-06-26T10:12:00Z</dcterms:modified>
</cp:coreProperties>
</file>