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340" w:rsidRDefault="001A2B8E" w:rsidP="001A2B8E">
      <w:pPr>
        <w:jc w:val="center"/>
        <w:rPr>
          <w:rFonts w:ascii="Times New Roman" w:hAnsi="Times New Roman" w:cs="Times New Roman"/>
          <w:b/>
          <w:noProof/>
          <w:sz w:val="24"/>
          <w:lang w:val="en-US"/>
        </w:rPr>
      </w:pPr>
      <w:r w:rsidRPr="001A2B8E">
        <w:rPr>
          <w:rFonts w:ascii="Times New Roman" w:hAnsi="Times New Roman" w:cs="Times New Roman"/>
          <w:b/>
          <w:noProof/>
          <w:sz w:val="24"/>
        </w:rPr>
        <w:t>В соответствии с Типовым общероссийским тематическим классификатором обращений в 2021 году граждане интересовались следующими вопросами:</w:t>
      </w:r>
    </w:p>
    <w:tbl>
      <w:tblPr>
        <w:tblW w:w="939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62"/>
        <w:gridCol w:w="3653"/>
        <w:gridCol w:w="2180"/>
      </w:tblGrid>
      <w:tr w:rsidR="001A2B8E" w:rsidRPr="001A2B8E" w:rsidTr="001A2B8E">
        <w:trPr>
          <w:cantSplit/>
          <w:trHeight w:val="196"/>
        </w:trPr>
        <w:tc>
          <w:tcPr>
            <w:tcW w:w="3562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53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1A2B8E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 xml:space="preserve">соответствии с </w:t>
            </w:r>
            <w:r w:rsidRPr="001A2B8E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80" w:type="dxa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A2B8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1A2B8E" w:rsidRPr="001A2B8E" w:rsidTr="001A2B8E">
        <w:trPr>
          <w:cantSplit/>
          <w:trHeight w:val="48"/>
        </w:trPr>
        <w:tc>
          <w:tcPr>
            <w:tcW w:w="3562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53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80" w:type="dxa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Х</w:t>
            </w:r>
          </w:p>
        </w:tc>
      </w:tr>
      <w:tr w:rsidR="001A2B8E" w:rsidRPr="001A2B8E" w:rsidTr="001A2B8E">
        <w:trPr>
          <w:cantSplit/>
          <w:trHeight w:val="79"/>
        </w:trPr>
        <w:tc>
          <w:tcPr>
            <w:tcW w:w="3562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  <w:tc>
          <w:tcPr>
            <w:tcW w:w="3653" w:type="dxa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80" w:type="dxa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33</w:t>
            </w:r>
          </w:p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(по сравнению с аналогичным периодом 2020 года меньше на 49% или на 32 обращения)</w:t>
            </w:r>
          </w:p>
        </w:tc>
      </w:tr>
      <w:tr w:rsidR="001A2B8E" w:rsidRPr="001A2B8E" w:rsidTr="001A2B8E">
        <w:trPr>
          <w:cantSplit/>
          <w:trHeight w:val="79"/>
        </w:trPr>
        <w:tc>
          <w:tcPr>
            <w:tcW w:w="3562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53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</w:t>
            </w:r>
            <w:bookmarkStart w:id="0" w:name="_GoBack"/>
            <w:bookmarkEnd w:id="0"/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ртный налог</w:t>
            </w:r>
          </w:p>
        </w:tc>
        <w:tc>
          <w:tcPr>
            <w:tcW w:w="2180" w:type="dxa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25</w:t>
            </w:r>
          </w:p>
        </w:tc>
      </w:tr>
      <w:tr w:rsidR="001A2B8E" w:rsidRPr="001A2B8E" w:rsidTr="001A2B8E">
        <w:trPr>
          <w:cantSplit/>
          <w:trHeight w:val="155"/>
        </w:trPr>
        <w:tc>
          <w:tcPr>
            <w:tcW w:w="3562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53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80" w:type="dxa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10</w:t>
            </w:r>
          </w:p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(по сравнению с аналогичным периодом 2020 года меньше на 22% или на 35 обращений)</w:t>
            </w:r>
          </w:p>
        </w:tc>
      </w:tr>
      <w:tr w:rsidR="001A2B8E" w:rsidRPr="001A2B8E" w:rsidTr="001A2B8E">
        <w:trPr>
          <w:cantSplit/>
          <w:trHeight w:val="79"/>
        </w:trPr>
        <w:tc>
          <w:tcPr>
            <w:tcW w:w="3562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53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80" w:type="dxa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36</w:t>
            </w:r>
          </w:p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(по сравнению с аналогичным периодом 2020 года больше на 33% или на 12 обращений)</w:t>
            </w:r>
          </w:p>
        </w:tc>
      </w:tr>
      <w:tr w:rsidR="001A2B8E" w:rsidRPr="001A2B8E" w:rsidTr="001A2B8E">
        <w:trPr>
          <w:cantSplit/>
          <w:trHeight w:val="79"/>
        </w:trPr>
        <w:tc>
          <w:tcPr>
            <w:tcW w:w="3562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53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80" w:type="dxa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43</w:t>
            </w:r>
          </w:p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1A2B8E" w:rsidRPr="001A2B8E" w:rsidTr="001A2B8E">
        <w:trPr>
          <w:cantSplit/>
          <w:trHeight w:val="79"/>
        </w:trPr>
        <w:tc>
          <w:tcPr>
            <w:tcW w:w="3562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53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80" w:type="dxa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10</w:t>
            </w:r>
          </w:p>
        </w:tc>
      </w:tr>
      <w:tr w:rsidR="001A2B8E" w:rsidRPr="001A2B8E" w:rsidTr="001A2B8E">
        <w:trPr>
          <w:cantSplit/>
          <w:trHeight w:val="79"/>
        </w:trPr>
        <w:tc>
          <w:tcPr>
            <w:tcW w:w="3562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53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80" w:type="dxa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18</w:t>
            </w:r>
          </w:p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(по сравнению с аналогичным периодом 2020 года меньше  на 60% или на 47 обращений)</w:t>
            </w:r>
          </w:p>
        </w:tc>
      </w:tr>
      <w:tr w:rsidR="001A2B8E" w:rsidRPr="001A2B8E" w:rsidTr="001A2B8E">
        <w:trPr>
          <w:cantSplit/>
          <w:trHeight w:val="79"/>
        </w:trPr>
        <w:tc>
          <w:tcPr>
            <w:tcW w:w="3562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53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2180" w:type="dxa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14</w:t>
            </w:r>
          </w:p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(по сравнению с аналогичным периодом 2020 года меньше на 40 % или на 21 обращений)</w:t>
            </w:r>
          </w:p>
        </w:tc>
      </w:tr>
      <w:tr w:rsidR="001A2B8E" w:rsidRPr="001A2B8E" w:rsidTr="001A2B8E">
        <w:trPr>
          <w:cantSplit/>
          <w:trHeight w:val="79"/>
        </w:trPr>
        <w:tc>
          <w:tcPr>
            <w:tcW w:w="3562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53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180" w:type="dxa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205</w:t>
            </w:r>
          </w:p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(по сравнению с аналогичным периодом 2020 года больше на 5,8 % или на 12 обращений)</w:t>
            </w:r>
          </w:p>
        </w:tc>
      </w:tr>
      <w:tr w:rsidR="001A2B8E" w:rsidRPr="001A2B8E" w:rsidTr="001A2B8E">
        <w:trPr>
          <w:cantSplit/>
          <w:trHeight w:val="79"/>
        </w:trPr>
        <w:tc>
          <w:tcPr>
            <w:tcW w:w="3562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53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80" w:type="dxa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</w:t>
            </w:r>
          </w:p>
        </w:tc>
      </w:tr>
      <w:tr w:rsidR="001A2B8E" w:rsidRPr="001A2B8E" w:rsidTr="001A2B8E">
        <w:trPr>
          <w:cantSplit/>
          <w:trHeight w:val="79"/>
        </w:trPr>
        <w:tc>
          <w:tcPr>
            <w:tcW w:w="3562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53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80" w:type="dxa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33</w:t>
            </w:r>
          </w:p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i/>
                <w:snapToGrid w:val="0"/>
                <w:sz w:val="18"/>
                <w:szCs w:val="18"/>
                <w:lang w:eastAsia="ru-RU"/>
              </w:rPr>
              <w:t>(по сравнению с аналогичным периодом 2020 года меньше  на 27  % или на 12 обращений)</w:t>
            </w:r>
          </w:p>
        </w:tc>
      </w:tr>
      <w:tr w:rsidR="001A2B8E" w:rsidRPr="001A2B8E" w:rsidTr="001A2B8E">
        <w:trPr>
          <w:cantSplit/>
          <w:trHeight w:val="79"/>
        </w:trPr>
        <w:tc>
          <w:tcPr>
            <w:tcW w:w="3562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53" w:type="dxa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80" w:type="dxa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23</w:t>
            </w:r>
          </w:p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1A2B8E" w:rsidRPr="001A2B8E" w:rsidTr="001A2B8E">
        <w:trPr>
          <w:cantSplit/>
          <w:trHeight w:val="79"/>
        </w:trPr>
        <w:tc>
          <w:tcPr>
            <w:tcW w:w="7214" w:type="dxa"/>
            <w:gridSpan w:val="2"/>
            <w:vAlign w:val="center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80" w:type="dxa"/>
          </w:tcPr>
          <w:p w:rsidR="001A2B8E" w:rsidRPr="001A2B8E" w:rsidRDefault="001A2B8E" w:rsidP="001A2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A2B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156</w:t>
            </w:r>
          </w:p>
        </w:tc>
      </w:tr>
    </w:tbl>
    <w:p w:rsidR="001A2B8E" w:rsidRPr="001A2B8E" w:rsidRDefault="001A2B8E" w:rsidP="001A2B8E">
      <w:pPr>
        <w:jc w:val="center"/>
        <w:rPr>
          <w:rFonts w:ascii="Times New Roman" w:hAnsi="Times New Roman" w:cs="Times New Roman"/>
          <w:lang w:val="en-US"/>
        </w:rPr>
      </w:pPr>
    </w:p>
    <w:sectPr w:rsidR="001A2B8E" w:rsidRPr="001A2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856"/>
    <w:rsid w:val="001A2B8E"/>
    <w:rsid w:val="00475340"/>
    <w:rsid w:val="009C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287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2022-01-24T09:43:00Z</dcterms:created>
  <dcterms:modified xsi:type="dcterms:W3CDTF">2022-01-24T09:54:00Z</dcterms:modified>
</cp:coreProperties>
</file>