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C98" w:rsidRPr="00422AB0" w:rsidRDefault="00C64C98" w:rsidP="00C64C98">
      <w:pPr>
        <w:jc w:val="right"/>
        <w:rPr>
          <w:bCs/>
          <w:sz w:val="20"/>
        </w:rPr>
      </w:pPr>
      <w:r w:rsidRPr="00422AB0">
        <w:rPr>
          <w:bCs/>
          <w:sz w:val="20"/>
        </w:rPr>
        <w:t>Приложение к приказу</w:t>
      </w:r>
    </w:p>
    <w:p w:rsidR="00C64C98" w:rsidRPr="00422AB0" w:rsidRDefault="00C64C98" w:rsidP="00C64C98">
      <w:pPr>
        <w:jc w:val="right"/>
        <w:rPr>
          <w:bCs/>
          <w:sz w:val="20"/>
        </w:rPr>
      </w:pPr>
      <w:r w:rsidRPr="00422AB0">
        <w:rPr>
          <w:bCs/>
          <w:sz w:val="20"/>
        </w:rPr>
        <w:t>№_02-02-06/91_  от _30.12.2019</w:t>
      </w:r>
    </w:p>
    <w:p w:rsidR="00C64C98" w:rsidRDefault="00C64C98" w:rsidP="00C64C98">
      <w:pPr>
        <w:tabs>
          <w:tab w:val="left" w:pos="4380"/>
        </w:tabs>
        <w:jc w:val="center"/>
        <w:rPr>
          <w:sz w:val="24"/>
          <w:szCs w:val="24"/>
        </w:rPr>
      </w:pPr>
    </w:p>
    <w:p w:rsidR="00C64C98" w:rsidRDefault="00C64C98" w:rsidP="00C64C98">
      <w:pPr>
        <w:tabs>
          <w:tab w:val="left" w:pos="4380"/>
        </w:tabs>
        <w:jc w:val="center"/>
        <w:rPr>
          <w:sz w:val="24"/>
          <w:szCs w:val="24"/>
        </w:rPr>
      </w:pPr>
    </w:p>
    <w:p w:rsidR="00C64C98" w:rsidRPr="00B912B5" w:rsidRDefault="00C64C98" w:rsidP="00C64C98">
      <w:pPr>
        <w:tabs>
          <w:tab w:val="left" w:pos="4380"/>
        </w:tabs>
        <w:jc w:val="center"/>
        <w:rPr>
          <w:b/>
          <w:sz w:val="24"/>
          <w:szCs w:val="24"/>
        </w:rPr>
      </w:pPr>
      <w:r w:rsidRPr="00B912B5">
        <w:rPr>
          <w:b/>
          <w:sz w:val="24"/>
          <w:szCs w:val="24"/>
        </w:rPr>
        <w:t xml:space="preserve">Правила организации и ведения бюджетного учета по осуществлению </w:t>
      </w:r>
    </w:p>
    <w:p w:rsidR="00C64C98" w:rsidRPr="00B912B5" w:rsidRDefault="00C64C98" w:rsidP="00C64C98">
      <w:pPr>
        <w:tabs>
          <w:tab w:val="left" w:pos="4380"/>
        </w:tabs>
        <w:jc w:val="center"/>
        <w:rPr>
          <w:b/>
          <w:sz w:val="24"/>
          <w:szCs w:val="24"/>
        </w:rPr>
      </w:pPr>
      <w:r w:rsidRPr="00B912B5">
        <w:rPr>
          <w:b/>
          <w:sz w:val="24"/>
          <w:szCs w:val="24"/>
        </w:rPr>
        <w:t>функций получателя средств федерального бюджета</w:t>
      </w:r>
    </w:p>
    <w:p w:rsidR="00C64C98" w:rsidRDefault="00C64C98" w:rsidP="00C64C98">
      <w:pPr>
        <w:tabs>
          <w:tab w:val="left" w:pos="4380"/>
        </w:tabs>
        <w:jc w:val="center"/>
        <w:rPr>
          <w:sz w:val="24"/>
          <w:szCs w:val="24"/>
        </w:rPr>
      </w:pPr>
    </w:p>
    <w:p w:rsidR="00C64C98" w:rsidRDefault="00C64C98" w:rsidP="00C64C98">
      <w:pPr>
        <w:tabs>
          <w:tab w:val="left" w:pos="4380"/>
        </w:tabs>
        <w:jc w:val="center"/>
        <w:rPr>
          <w:sz w:val="24"/>
          <w:szCs w:val="24"/>
        </w:rPr>
      </w:pPr>
    </w:p>
    <w:p w:rsidR="00C64C98" w:rsidRDefault="00C64C98" w:rsidP="00C64C98">
      <w:pPr>
        <w:tabs>
          <w:tab w:val="left" w:pos="4380"/>
        </w:tabs>
        <w:jc w:val="center"/>
        <w:rPr>
          <w:sz w:val="24"/>
          <w:szCs w:val="24"/>
        </w:rPr>
      </w:pPr>
    </w:p>
    <w:p w:rsidR="00C64C98" w:rsidRPr="007A6F13" w:rsidRDefault="00C64C98" w:rsidP="00C64C98">
      <w:pPr>
        <w:tabs>
          <w:tab w:val="left" w:pos="4380"/>
        </w:tabs>
        <w:jc w:val="both"/>
        <w:rPr>
          <w:sz w:val="24"/>
          <w:szCs w:val="24"/>
        </w:rPr>
      </w:pPr>
      <w:r w:rsidRPr="007A6F13">
        <w:rPr>
          <w:sz w:val="24"/>
          <w:szCs w:val="24"/>
        </w:rPr>
        <w:t>В своей деятельности по организации и ведению бюджетного учета по осуществлению функций получателя средств федерального бюджета Инспекция руководствуется следующими нормативными документами:</w:t>
      </w:r>
    </w:p>
    <w:p w:rsidR="00C64C98" w:rsidRPr="007A6F13" w:rsidRDefault="00C64C98" w:rsidP="00C64C98">
      <w:pPr>
        <w:tabs>
          <w:tab w:val="left" w:pos="4380"/>
        </w:tabs>
        <w:jc w:val="both"/>
        <w:rPr>
          <w:sz w:val="24"/>
          <w:szCs w:val="24"/>
        </w:rPr>
      </w:pPr>
      <w:r w:rsidRPr="007A6F13">
        <w:rPr>
          <w:sz w:val="24"/>
          <w:szCs w:val="24"/>
        </w:rPr>
        <w:t>-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(далее – Инструкция 157н);</w:t>
      </w:r>
    </w:p>
    <w:p w:rsidR="00C64C98" w:rsidRPr="007A6F13" w:rsidRDefault="00C64C98" w:rsidP="00C64C98">
      <w:pPr>
        <w:tabs>
          <w:tab w:val="left" w:pos="4380"/>
        </w:tabs>
        <w:jc w:val="both"/>
        <w:rPr>
          <w:sz w:val="24"/>
          <w:szCs w:val="24"/>
        </w:rPr>
      </w:pPr>
      <w:r w:rsidRPr="007A6F13">
        <w:rPr>
          <w:sz w:val="24"/>
          <w:szCs w:val="24"/>
        </w:rPr>
        <w:t>- Приказ Минфина РФ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 (далее – Инструкция 52н);</w:t>
      </w:r>
    </w:p>
    <w:p w:rsidR="00C64C98" w:rsidRPr="007A6F13" w:rsidRDefault="00C64C98" w:rsidP="00C64C98">
      <w:pPr>
        <w:tabs>
          <w:tab w:val="left" w:pos="4380"/>
        </w:tabs>
        <w:jc w:val="both"/>
        <w:rPr>
          <w:sz w:val="24"/>
          <w:szCs w:val="24"/>
        </w:rPr>
      </w:pPr>
      <w:r w:rsidRPr="007A6F13">
        <w:rPr>
          <w:sz w:val="24"/>
          <w:szCs w:val="24"/>
        </w:rPr>
        <w:t>- Приказ Минфина РФ от 06.12.2010 N 162н «Об утверждении Плана счетов бюджетного учета и Инструкции по его применению» (далее – Инструкция 162н).</w:t>
      </w:r>
    </w:p>
    <w:p w:rsidR="00C64C98" w:rsidRPr="007A6F13" w:rsidRDefault="00C64C98" w:rsidP="00C64C98">
      <w:pPr>
        <w:tabs>
          <w:tab w:val="left" w:pos="4380"/>
        </w:tabs>
        <w:jc w:val="both"/>
        <w:rPr>
          <w:sz w:val="24"/>
          <w:szCs w:val="24"/>
        </w:rPr>
      </w:pPr>
      <w:r w:rsidRPr="007A6F13">
        <w:rPr>
          <w:sz w:val="24"/>
          <w:szCs w:val="24"/>
        </w:rPr>
        <w:t>- Приказ Минфина России от 1.07.2013 № 65н «Об утверждении Указаний о порядке применения бюджетной классификации Российской Федерации» (далее – приказ № 65н);</w:t>
      </w:r>
    </w:p>
    <w:p w:rsidR="00C64C98" w:rsidRPr="007A6F13" w:rsidRDefault="00C64C98" w:rsidP="00C64C98">
      <w:pPr>
        <w:tabs>
          <w:tab w:val="left" w:pos="4380"/>
        </w:tabs>
        <w:jc w:val="both"/>
        <w:rPr>
          <w:sz w:val="24"/>
          <w:szCs w:val="24"/>
        </w:rPr>
      </w:pPr>
      <w:r w:rsidRPr="007A6F13">
        <w:rPr>
          <w:sz w:val="24"/>
          <w:szCs w:val="24"/>
        </w:rPr>
        <w:t xml:space="preserve"> -Федеральными стандартами бухгалтерского учета для организаций государственного сектора, утвержденными приказами Минфина России от 31 декабря 2016 № 256н, № 257н, № 258н, № 259н, № 260н (далее – 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 от 30.12.2017 № 274н, № 275н, № 278н (далее соответственно Стандарт «Учетная политика</w:t>
      </w:r>
      <w:proofErr w:type="gramStart"/>
      <w:r w:rsidRPr="007A6F13">
        <w:rPr>
          <w:sz w:val="24"/>
          <w:szCs w:val="24"/>
        </w:rPr>
        <w:t xml:space="preserve"> ,</w:t>
      </w:r>
      <w:proofErr w:type="gramEnd"/>
      <w:r w:rsidRPr="007A6F13">
        <w:rPr>
          <w:sz w:val="24"/>
          <w:szCs w:val="24"/>
        </w:rPr>
        <w:t xml:space="preserve"> оценочные значения и ошибки», Стандарт «События после отчетной даты», Стандарт «Отчет о движении денежных средств», от 27.02.2018 № 32н Стандарт «Доходы», от 30.05.2018 № 122 Стандарт «Влияние изменений курсов иностранных валют».</w:t>
      </w:r>
    </w:p>
    <w:p w:rsidR="00C64C98" w:rsidRPr="007A6F13" w:rsidRDefault="00C64C98" w:rsidP="00C64C98">
      <w:pPr>
        <w:tabs>
          <w:tab w:val="left" w:pos="4380"/>
        </w:tabs>
        <w:jc w:val="both"/>
        <w:rPr>
          <w:sz w:val="24"/>
          <w:szCs w:val="24"/>
        </w:rPr>
      </w:pPr>
    </w:p>
    <w:p w:rsidR="00C64C98" w:rsidRPr="007A6F13" w:rsidRDefault="00C64C98" w:rsidP="00C64C98">
      <w:pPr>
        <w:tabs>
          <w:tab w:val="left" w:pos="4380"/>
        </w:tabs>
        <w:jc w:val="both"/>
        <w:rPr>
          <w:sz w:val="24"/>
          <w:szCs w:val="24"/>
        </w:rPr>
      </w:pPr>
      <w:proofErr w:type="spellStart"/>
      <w:r w:rsidRPr="007A6F13">
        <w:rPr>
          <w:sz w:val="24"/>
          <w:szCs w:val="24"/>
        </w:rPr>
        <w:t>I.Основные</w:t>
      </w:r>
      <w:proofErr w:type="spellEnd"/>
      <w:r w:rsidRPr="007A6F13">
        <w:rPr>
          <w:sz w:val="24"/>
          <w:szCs w:val="24"/>
        </w:rPr>
        <w:t xml:space="preserve"> положения</w:t>
      </w:r>
    </w:p>
    <w:p w:rsidR="00C64C98" w:rsidRPr="007A6F13" w:rsidRDefault="00C64C98" w:rsidP="00C64C98">
      <w:pPr>
        <w:tabs>
          <w:tab w:val="left" w:pos="4380"/>
        </w:tabs>
        <w:jc w:val="both"/>
        <w:rPr>
          <w:sz w:val="24"/>
          <w:szCs w:val="24"/>
        </w:rPr>
      </w:pPr>
      <w:proofErr w:type="spellStart"/>
      <w:r w:rsidRPr="007A6F13">
        <w:rPr>
          <w:sz w:val="24"/>
          <w:szCs w:val="24"/>
        </w:rPr>
        <w:t>II.Особенности</w:t>
      </w:r>
      <w:proofErr w:type="spellEnd"/>
      <w:r w:rsidRPr="007A6F13">
        <w:rPr>
          <w:sz w:val="24"/>
          <w:szCs w:val="24"/>
        </w:rPr>
        <w:t xml:space="preserve"> учета операций по осуществлению функций получателя средств </w:t>
      </w:r>
      <w:r>
        <w:rPr>
          <w:sz w:val="24"/>
          <w:szCs w:val="24"/>
        </w:rPr>
        <w:t xml:space="preserve">       </w:t>
      </w:r>
      <w:r w:rsidRPr="007A6F13">
        <w:rPr>
          <w:sz w:val="24"/>
          <w:szCs w:val="24"/>
        </w:rPr>
        <w:t>федерального бюджета</w:t>
      </w:r>
    </w:p>
    <w:p w:rsidR="00C64C98" w:rsidRPr="007A6F13" w:rsidRDefault="00C64C98" w:rsidP="00C64C98">
      <w:pPr>
        <w:tabs>
          <w:tab w:val="left" w:pos="4380"/>
        </w:tabs>
        <w:jc w:val="both"/>
        <w:rPr>
          <w:sz w:val="24"/>
          <w:szCs w:val="24"/>
        </w:rPr>
      </w:pPr>
      <w:proofErr w:type="spellStart"/>
      <w:r w:rsidRPr="007A6F13">
        <w:rPr>
          <w:sz w:val="24"/>
          <w:szCs w:val="24"/>
        </w:rPr>
        <w:t>III.Порядок</w:t>
      </w:r>
      <w:proofErr w:type="spellEnd"/>
      <w:r w:rsidRPr="007A6F13">
        <w:rPr>
          <w:sz w:val="24"/>
          <w:szCs w:val="24"/>
        </w:rPr>
        <w:t xml:space="preserve"> и сроки проведения инвентаризации</w:t>
      </w:r>
    </w:p>
    <w:p w:rsidR="00C64C98" w:rsidRPr="007A6F13" w:rsidRDefault="00C64C98" w:rsidP="00C64C98">
      <w:pPr>
        <w:tabs>
          <w:tab w:val="left" w:pos="4380"/>
        </w:tabs>
        <w:jc w:val="both"/>
        <w:rPr>
          <w:sz w:val="24"/>
          <w:szCs w:val="24"/>
        </w:rPr>
      </w:pPr>
      <w:proofErr w:type="spellStart"/>
      <w:r w:rsidRPr="007A6F13">
        <w:rPr>
          <w:sz w:val="24"/>
          <w:szCs w:val="24"/>
        </w:rPr>
        <w:t>IV.Порядок</w:t>
      </w:r>
      <w:proofErr w:type="spellEnd"/>
      <w:r w:rsidRPr="007A6F13">
        <w:rPr>
          <w:sz w:val="24"/>
          <w:szCs w:val="24"/>
        </w:rPr>
        <w:t xml:space="preserve"> и сроки представления бюджетной и иной отчетности</w:t>
      </w:r>
    </w:p>
    <w:p w:rsidR="00C64C98" w:rsidRPr="007A6F13" w:rsidRDefault="00C64C98" w:rsidP="00C64C98">
      <w:pPr>
        <w:tabs>
          <w:tab w:val="left" w:pos="4380"/>
        </w:tabs>
        <w:jc w:val="both"/>
        <w:rPr>
          <w:sz w:val="24"/>
          <w:szCs w:val="24"/>
        </w:rPr>
      </w:pPr>
      <w:proofErr w:type="spellStart"/>
      <w:r w:rsidRPr="007A6F13">
        <w:rPr>
          <w:sz w:val="24"/>
          <w:szCs w:val="24"/>
        </w:rPr>
        <w:t>V.Некоторые</w:t>
      </w:r>
      <w:proofErr w:type="spellEnd"/>
      <w:r w:rsidRPr="007A6F13">
        <w:rPr>
          <w:sz w:val="24"/>
          <w:szCs w:val="24"/>
        </w:rPr>
        <w:t xml:space="preserve"> особенности ведения бюджетного учета</w:t>
      </w:r>
    </w:p>
    <w:p w:rsidR="00C64C98" w:rsidRPr="007A6F13" w:rsidRDefault="00C64C98" w:rsidP="00C64C98">
      <w:pPr>
        <w:tabs>
          <w:tab w:val="left" w:pos="4380"/>
        </w:tabs>
        <w:jc w:val="both"/>
        <w:rPr>
          <w:sz w:val="24"/>
          <w:szCs w:val="24"/>
        </w:rPr>
      </w:pPr>
      <w:proofErr w:type="spellStart"/>
      <w:r w:rsidRPr="007A6F13">
        <w:rPr>
          <w:sz w:val="24"/>
          <w:szCs w:val="24"/>
        </w:rPr>
        <w:t>VI.Порядок</w:t>
      </w:r>
      <w:proofErr w:type="spellEnd"/>
      <w:r w:rsidRPr="007A6F13">
        <w:rPr>
          <w:sz w:val="24"/>
          <w:szCs w:val="24"/>
        </w:rPr>
        <w:t xml:space="preserve"> признания и отражения в учете и бухгалтерской отчетности событий после </w:t>
      </w:r>
      <w:r>
        <w:rPr>
          <w:sz w:val="24"/>
          <w:szCs w:val="24"/>
        </w:rPr>
        <w:t xml:space="preserve">          </w:t>
      </w:r>
      <w:r w:rsidRPr="007A6F13">
        <w:rPr>
          <w:sz w:val="24"/>
          <w:szCs w:val="24"/>
        </w:rPr>
        <w:t>отчетной даты</w:t>
      </w:r>
    </w:p>
    <w:p w:rsidR="00C64C98" w:rsidRPr="007A6F13" w:rsidRDefault="00C64C98" w:rsidP="00C64C98">
      <w:pPr>
        <w:tabs>
          <w:tab w:val="left" w:pos="4380"/>
        </w:tabs>
        <w:jc w:val="both"/>
        <w:rPr>
          <w:sz w:val="24"/>
          <w:szCs w:val="24"/>
        </w:rPr>
      </w:pPr>
    </w:p>
    <w:p w:rsidR="00697E10" w:rsidRDefault="00697E10">
      <w:bookmarkStart w:id="0" w:name="_GoBack"/>
      <w:bookmarkEnd w:id="0"/>
    </w:p>
    <w:sectPr w:rsidR="00697E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BA2"/>
    <w:rsid w:val="003E1BA2"/>
    <w:rsid w:val="005F389A"/>
    <w:rsid w:val="00697E10"/>
    <w:rsid w:val="00C64C98"/>
    <w:rsid w:val="00F55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C98"/>
    <w:rPr>
      <w:snapToGrid w:val="0"/>
      <w:sz w:val="26"/>
      <w:lang w:eastAsia="ru-RU"/>
    </w:rPr>
  </w:style>
  <w:style w:type="paragraph" w:styleId="4">
    <w:name w:val="heading 4"/>
    <w:basedOn w:val="a"/>
    <w:next w:val="a"/>
    <w:link w:val="40"/>
    <w:qFormat/>
    <w:rsid w:val="00F55EF7"/>
    <w:pPr>
      <w:keepNext/>
      <w:jc w:val="right"/>
      <w:outlineLvl w:val="3"/>
    </w:pPr>
    <w:rPr>
      <w:snapToGrid/>
      <w:sz w:val="2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_рег"/>
    <w:basedOn w:val="a"/>
    <w:qFormat/>
    <w:rsid w:val="00F55EF7"/>
    <w:pPr>
      <w:spacing w:before="60" w:after="60"/>
      <w:ind w:firstLine="709"/>
      <w:jc w:val="both"/>
    </w:pPr>
    <w:rPr>
      <w:snapToGrid/>
      <w:sz w:val="24"/>
      <w:szCs w:val="24"/>
      <w:lang w:eastAsia="en-US"/>
    </w:rPr>
  </w:style>
  <w:style w:type="paragraph" w:customStyle="1" w:styleId="1">
    <w:name w:val="Шапка табл1"/>
    <w:basedOn w:val="a"/>
    <w:qFormat/>
    <w:rsid w:val="00F55EF7"/>
    <w:pPr>
      <w:tabs>
        <w:tab w:val="left" w:pos="556"/>
        <w:tab w:val="left" w:pos="1735"/>
      </w:tabs>
      <w:spacing w:before="40" w:after="40"/>
      <w:contextualSpacing/>
      <w:jc w:val="center"/>
    </w:pPr>
    <w:rPr>
      <w:b/>
      <w:snapToGrid/>
      <w:sz w:val="20"/>
      <w:szCs w:val="24"/>
      <w:lang w:eastAsia="en-US"/>
    </w:rPr>
  </w:style>
  <w:style w:type="character" w:customStyle="1" w:styleId="40">
    <w:name w:val="Заголовок 4 Знак"/>
    <w:link w:val="4"/>
    <w:rsid w:val="00F55EF7"/>
    <w:rPr>
      <w:sz w:val="28"/>
      <w:szCs w:val="24"/>
    </w:rPr>
  </w:style>
  <w:style w:type="paragraph" w:styleId="a4">
    <w:name w:val="List Paragraph"/>
    <w:basedOn w:val="a"/>
    <w:qFormat/>
    <w:rsid w:val="00F55EF7"/>
    <w:pPr>
      <w:spacing w:after="200" w:line="276" w:lineRule="auto"/>
      <w:ind w:left="720"/>
      <w:contextualSpacing/>
    </w:pPr>
    <w:rPr>
      <w:rFonts w:ascii="Calibri" w:hAnsi="Calibri"/>
      <w:snapToGrid/>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C98"/>
    <w:rPr>
      <w:snapToGrid w:val="0"/>
      <w:sz w:val="26"/>
      <w:lang w:eastAsia="ru-RU"/>
    </w:rPr>
  </w:style>
  <w:style w:type="paragraph" w:styleId="4">
    <w:name w:val="heading 4"/>
    <w:basedOn w:val="a"/>
    <w:next w:val="a"/>
    <w:link w:val="40"/>
    <w:qFormat/>
    <w:rsid w:val="00F55EF7"/>
    <w:pPr>
      <w:keepNext/>
      <w:jc w:val="right"/>
      <w:outlineLvl w:val="3"/>
    </w:pPr>
    <w:rPr>
      <w:snapToGrid/>
      <w:sz w:val="2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_рег"/>
    <w:basedOn w:val="a"/>
    <w:qFormat/>
    <w:rsid w:val="00F55EF7"/>
    <w:pPr>
      <w:spacing w:before="60" w:after="60"/>
      <w:ind w:firstLine="709"/>
      <w:jc w:val="both"/>
    </w:pPr>
    <w:rPr>
      <w:snapToGrid/>
      <w:sz w:val="24"/>
      <w:szCs w:val="24"/>
      <w:lang w:eastAsia="en-US"/>
    </w:rPr>
  </w:style>
  <w:style w:type="paragraph" w:customStyle="1" w:styleId="1">
    <w:name w:val="Шапка табл1"/>
    <w:basedOn w:val="a"/>
    <w:qFormat/>
    <w:rsid w:val="00F55EF7"/>
    <w:pPr>
      <w:tabs>
        <w:tab w:val="left" w:pos="556"/>
        <w:tab w:val="left" w:pos="1735"/>
      </w:tabs>
      <w:spacing w:before="40" w:after="40"/>
      <w:contextualSpacing/>
      <w:jc w:val="center"/>
    </w:pPr>
    <w:rPr>
      <w:b/>
      <w:snapToGrid/>
      <w:sz w:val="20"/>
      <w:szCs w:val="24"/>
      <w:lang w:eastAsia="en-US"/>
    </w:rPr>
  </w:style>
  <w:style w:type="character" w:customStyle="1" w:styleId="40">
    <w:name w:val="Заголовок 4 Знак"/>
    <w:link w:val="4"/>
    <w:rsid w:val="00F55EF7"/>
    <w:rPr>
      <w:sz w:val="28"/>
      <w:szCs w:val="24"/>
    </w:rPr>
  </w:style>
  <w:style w:type="paragraph" w:styleId="a4">
    <w:name w:val="List Paragraph"/>
    <w:basedOn w:val="a"/>
    <w:qFormat/>
    <w:rsid w:val="00F55EF7"/>
    <w:pPr>
      <w:spacing w:after="200" w:line="276" w:lineRule="auto"/>
      <w:ind w:left="720"/>
      <w:contextualSpacing/>
    </w:pPr>
    <w:rPr>
      <w:rFonts w:ascii="Calibri" w:hAnsi="Calibri"/>
      <w:snapToGri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Заровная Евгения Викторовна</dc:creator>
  <cp:keywords/>
  <dc:description/>
  <cp:lastModifiedBy>Заровная Евгения Викторовна</cp:lastModifiedBy>
  <cp:revision>2</cp:revision>
  <dcterms:created xsi:type="dcterms:W3CDTF">2020-12-29T10:52:00Z</dcterms:created>
  <dcterms:modified xsi:type="dcterms:W3CDTF">2020-12-29T10:53:00Z</dcterms:modified>
</cp:coreProperties>
</file>